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200" w:line="320"/>
        <w:jc w:val="center"/>
      </w:pPr>
      <w:r>
        <w:rPr>
          <w:b/>
          <w:bCs/>
          <w:color w:val="4A2222"/>
          <w:sz w:val="44"/>
          <w:szCs w:val="44"/>
        </w:rPr>
        <w:t xml:space="preserve">The GED Math Foundations Roadmap</w:t>
      </w:r>
    </w:p>
    <w:p>
      <w:pPr>
        <w:spacing w:after="100" w:before="0" w:line="330"/>
        <w:jc w:val="center"/>
      </w:pPr>
      <w:r>
        <w:rPr>
          <w:i/>
          <w:iCs/>
          <w:color w:val="5C2C2C"/>
          <w:sz w:val="28"/>
          <w:szCs w:val="28"/>
        </w:rPr>
        <w:t xml:space="preserve">Orientation — Your Map, Your Tracker, and How the Whole Thing Works</w:t>
      </w:r>
    </w:p>
    <w:p>
      <w:pPr>
        <w:spacing w:after="140" w:before="0" w:line="330"/>
        <w:jc w:val="center"/>
      </w:pPr>
      <w:r>
        <w:rPr>
          <w:i/>
          <w:iCs/>
          <w:color w:val="5C2C2C"/>
          <w:sz w:val="24"/>
          <w:szCs w:val="24"/>
        </w:rPr>
        <w:t xml:space="preserve">A Summer Study Guide You Can Do On Your Own</w:t>
      </w:r>
    </w:p>
    <w:p>
      <w:pPr>
        <w:spacing w:after="320" w:before="0" w:line="330"/>
        <w:jc w:val="center"/>
      </w:pPr>
      <w:r>
        <w:rPr>
          <w:sz w:val="22"/>
          <w:szCs w:val="22"/>
        </w:rPr>
        <w:t xml:space="preserve">For questions, contact Myles:  </w:t>
      </w:r>
      <w:r>
        <w:rPr>
          <w:b/>
          <w:bCs/>
          <w:sz w:val="22"/>
          <w:szCs w:val="22"/>
        </w:rPr>
        <w:t xml:space="preserve">xamyxamu@hotmail.com</w:t>
      </w:r>
      <w:r>
        <w:rPr>
          <w:sz w:val="22"/>
          <w:szCs w:val="22"/>
        </w:rPr>
        <w:t xml:space="preserve">  ·  call/text  </w:t>
      </w:r>
      <w:r>
        <w:rPr>
          <w:b/>
          <w:bCs/>
          <w:sz w:val="22"/>
          <w:szCs w:val="22"/>
        </w:rPr>
        <w:t xml:space="preserve">845-464-7343</w:t>
      </w:r>
    </w:p>
    <w:p>
      <w:pPr>
        <w:spacing w:after="170" w:before="120" w:line="330"/>
      </w:pPr>
      <w:r>
        <w:rPr>
          <w:b/>
          <w:bCs/>
          <w:color w:val="4A2222"/>
          <w:sz w:val="32"/>
          <w:szCs w:val="32"/>
        </w:rPr>
        <w:t xml:space="preserve">A Letter Before You Begin</w:t>
      </w:r>
    </w:p>
    <w:p>
      <w:pPr>
        <w:spacing w:after="170" w:before="0" w:line="330"/>
      </w:pPr>
      <w:r>
        <w:t xml:space="preserve">Hello Everyone,</w:t>
      </w:r>
    </w:p>
    <w:p>
      <w:pPr>
        <w:spacing w:after="170" w:before="0" w:line="330"/>
      </w:pPr>
      <w:r>
        <w:t xml:space="preserve">Classes are paused for the summer, but learning doesn't have to be. I put this guide together for those of you who told me you wanted to keep your math moving while we're on break. There's no grade here and no pressure. This exists because you asked for it.</w:t>
      </w:r>
    </w:p>
    <w:p>
      <w:pPr>
        <w:spacing w:after="170" w:before="0" w:line="330"/>
      </w:pPr>
      <w:r>
        <w:t xml:space="preserve">I built it so you can use it </w:t>
      </w:r>
      <w:r>
        <w:rPr>
          <w:i/>
          <w:iCs/>
        </w:rPr>
        <w:t xml:space="preserve">on your own</w:t>
      </w:r>
      <w:r>
        <w:t xml:space="preserve">. Every lesson explains the idea first — the </w:t>
      </w:r>
      <w:r>
        <w:rPr>
          <w:b/>
          <w:bCs/>
        </w:rPr>
        <w:t xml:space="preserve">why</w:t>
      </w:r>
      <w:r>
        <w:t xml:space="preserve"> before the </w:t>
      </w:r>
      <w:r>
        <w:rPr>
          <w:b/>
          <w:bCs/>
        </w:rPr>
        <w:t xml:space="preserve">how</w:t>
      </w:r>
      <w:r>
        <w:t xml:space="preserve"> — and every set of practice questions comes with an answer key that doesn't just give you the answer, it walks you through the thinking. That part is on purpose. When I'm not sitting next to you, </w:t>
      </w:r>
      <w:r>
        <w:rPr>
          <w:b/>
          <w:bCs/>
        </w:rPr>
        <w:t xml:space="preserve">the answer key is me, explaining.</w:t>
      </w:r>
      <w:r>
        <w:t xml:space="preserve"> Read it even when you got the question right.</w:t>
      </w:r>
    </w:p>
    <w:p>
      <w:pPr>
        <w:spacing w:after="170" w:before="0" w:line="330"/>
      </w:pPr>
      <w:r>
        <w:t xml:space="preserve">Go at your own pace. The Roadmap on the next pages is your map — it shows where you are and what comes next. If you miss a few days, that's fine; summer is summer. Just come back, find your spot on the map, and pick up again. What matters is understanding, not speed.</w:t>
      </w:r>
    </w:p>
    <w:p>
      <w:pPr>
        <w:spacing w:after="170" w:before="0" w:line="330"/>
      </w:pPr>
      <w:r>
        <w:t xml:space="preserve">I meant it when I said you can reach me, and I do mean it. I'll also be with my family this summer, and that time matters too — so I've built this guide to answer most of your questions itself, before you ever need me. The next page shows you what to try when you get stuck. Work through those steps first; they'll get you unstuck more often than you'd expect. And when something truly needs me, I'm here — just know my replies may be slower than during the school year.</w:t>
      </w:r>
    </w:p>
    <w:p>
      <w:pPr>
        <w:spacing w:after="170" w:before="0" w:line="330"/>
      </w:pPr>
      <w:r>
        <w:t xml:space="preserve">You are capable of this. You've already shown that. Have a good summer — and I'll see you on the other side of it.</w:t>
      </w:r>
    </w:p>
    <w:p>
      <w:pPr>
        <w:spacing w:after="200" w:before="0" w:line="330"/>
      </w:pPr>
      <w:r>
        <w:rPr>
          <w:b/>
          <w:bCs/>
        </w:rPr>
        <w:t xml:space="preserve">— Myles</w:t>
      </w:r>
    </w:p>
    <w:p>
      <w:pPr>
        <w:pageBreakBefore/>
        <w:spacing w:after="170"/>
      </w:pPr>
      <w:r>
        <w:rPr>
          <w:b/>
          <w:bCs/>
          <w:color w:val="4A2222"/>
          <w:sz w:val="32"/>
          <w:szCs w:val="32"/>
        </w:rPr>
        <w:t xml:space="preserve">How to Use This Guide</w:t>
      </w:r>
    </w:p>
    <w:p>
      <w:pPr>
        <w:spacing w:after="170" w:before="0" w:line="330"/>
      </w:pPr>
      <w:r>
        <w:t xml:space="preserve">The </w:t>
      </w:r>
      <w:r>
        <w:rPr>
          <w:b/>
          <w:bCs/>
        </w:rPr>
        <w:t xml:space="preserve">Roadmap</w:t>
      </w:r>
      <w:r>
        <w:t xml:space="preserve"> is your map for the whole summer. The </w:t>
      </w:r>
      <w:r>
        <w:rPr>
          <w:b/>
          <w:bCs/>
        </w:rPr>
        <w:t xml:space="preserve">lessons</w:t>
      </w:r>
      <w:r>
        <w:t xml:space="preserve"> are the road. Every lesson has the same shape, and it speaks in the same five colors — after your first lesson, you'll be able to find your place on any page by color alone:</w:t>
      </w:r>
    </w:p>
    <w:p>
      <w:pPr>
        <w:spacing w:after="110" w:before="0" w:line="330"/>
      </w:pPr>
      <w:r>
        <w:rPr>
          <w:b/>
          <w:bCs/>
          <w:sz w:val="22"/>
          <w:szCs w:val="22"/>
        </w:rPr>
        <w:t xml:space="preserve">Every lesson speaks in the same five colors</w:t>
      </w:r>
      <w:r>
        <w:rPr>
          <w:sz w:val="22"/>
          <w:szCs w:val="22"/>
        </w:rPr>
        <w:t xml:space="preserve"> — after one lesson, you can find your place by color alone:</w:t>
      </w:r>
    </w:p>
    <w:tbl>
      <w:tblPr>
        <w:tblW w:type="dxa" w:w="9360"/>
        <w:tblBorders>
          <w:top w:val="none" w:color="FFFFFF" w:sz="0"/>
          <w:left w:val="none" w:color="FFFFFF" w:sz="0"/>
          <w:bottom w:val="none" w:color="FFFFFF" w:sz="0"/>
          <w:right w:val="none" w:color="FFFFFF" w:sz="0"/>
          <w:insideH w:val="none" w:color="FFFFFF" w:sz="0"/>
          <w:insideV w:val="single" w:color="FFFFFF" w:sz="12"/>
        </w:tblBorders>
      </w:tblPr>
      <w:tblGrid>
        <w:gridCol w:w="1872"/>
        <w:gridCol w:w="1872"/>
        <w:gridCol w:w="1872"/>
        <w:gridCol w:w="1872"/>
        <w:gridCol w:w="1872"/>
      </w:tblGrid>
      <w:tr>
        <w:tc>
          <w:tcPr>
            <w:tcW w:type="dxa" w:w="1872"/>
            <w:tcBorders>
              <w:top w:val="single" w:color="3D5A80" w:sz="16"/>
              <w:left w:val="none" w:color="FFFFFF" w:sz="0"/>
              <w:bottom w:val="none" w:color="FFFFFF" w:sz="0"/>
              <w:right w:val="none" w:color="FFFFFF" w:sz="0"/>
            </w:tcBorders>
            <w:shd w:fill="EAF0F6" w:val="clear"/>
            <w:tcMar>
              <w:top w:type="dxa" w:w="70"/>
              <w:left w:type="dxa" w:w="60"/>
              <w:bottom w:type="dxa" w:w="70"/>
              <w:right w:type="dxa" w:w="60"/>
            </w:tcMar>
            <w:vAlign w:val="center"/>
          </w:tcPr>
          <w:p>
            <w:pPr>
              <w:spacing w:after="0" w:line="230"/>
              <w:jc w:val="center"/>
            </w:pPr>
            <w:r>
              <w:rPr>
                <w:b/>
                <w:bCs/>
                <w:color w:val="3D5A80"/>
                <w:sz w:val="17"/>
                <w:szCs w:val="17"/>
              </w:rPr>
              <w:t xml:space="preserve">blue = the idea</w:t>
            </w:r>
          </w:p>
        </w:tc>
        <w:tc>
          <w:tcPr>
            <w:tcW w:type="dxa" w:w="1872"/>
            <w:tcBorders>
              <w:top w:val="single" w:color="5F7A5F" w:sz="16"/>
              <w:left w:val="none" w:color="FFFFFF" w:sz="0"/>
              <w:bottom w:val="none" w:color="FFFFFF" w:sz="0"/>
              <w:right w:val="none" w:color="FFFFFF" w:sz="0"/>
            </w:tcBorders>
            <w:shd w:fill="ECF2EA" w:val="clear"/>
            <w:tcMar>
              <w:top w:type="dxa" w:w="70"/>
              <w:left w:type="dxa" w:w="60"/>
              <w:bottom w:type="dxa" w:w="70"/>
              <w:right w:type="dxa" w:w="60"/>
            </w:tcMar>
            <w:vAlign w:val="center"/>
          </w:tcPr>
          <w:p>
            <w:pPr>
              <w:spacing w:after="0" w:line="230"/>
              <w:jc w:val="center"/>
            </w:pPr>
            <w:r>
              <w:rPr>
                <w:b/>
                <w:bCs/>
                <w:color w:val="5F7A5F"/>
                <w:sz w:val="17"/>
                <w:szCs w:val="17"/>
              </w:rPr>
              <w:t xml:space="preserve">green = worked examples</w:t>
            </w:r>
          </w:p>
        </w:tc>
        <w:tc>
          <w:tcPr>
            <w:tcW w:type="dxa" w:w="1872"/>
            <w:tcBorders>
              <w:top w:val="single" w:color="A97617" w:sz="16"/>
              <w:left w:val="none" w:color="FFFFFF" w:sz="0"/>
              <w:bottom w:val="none" w:color="FFFFFF" w:sz="0"/>
              <w:right w:val="none" w:color="FFFFFF" w:sz="0"/>
            </w:tcBorders>
            <w:shd w:fill="FBF2DC" w:val="clear"/>
            <w:tcMar>
              <w:top w:type="dxa" w:w="70"/>
              <w:left w:type="dxa" w:w="60"/>
              <w:bottom w:type="dxa" w:w="70"/>
              <w:right w:type="dxa" w:w="60"/>
            </w:tcMar>
            <w:vAlign w:val="center"/>
          </w:tcPr>
          <w:p>
            <w:pPr>
              <w:spacing w:after="0" w:line="230"/>
              <w:jc w:val="center"/>
            </w:pPr>
            <w:r>
              <w:rPr>
                <w:b/>
                <w:bCs/>
                <w:color w:val="A97617"/>
                <w:sz w:val="17"/>
                <w:szCs w:val="17"/>
              </w:rPr>
              <w:t xml:space="preserve">amber = your turn</w:t>
            </w:r>
          </w:p>
        </w:tc>
        <w:tc>
          <w:tcPr>
            <w:tcW w:type="dxa" w:w="1872"/>
            <w:tcBorders>
              <w:top w:val="single" w:color="63558A" w:sz="16"/>
              <w:left w:val="none" w:color="FFFFFF" w:sz="0"/>
              <w:bottom w:val="none" w:color="FFFFFF" w:sz="0"/>
              <w:right w:val="none" w:color="FFFFFF" w:sz="0"/>
            </w:tcBorders>
            <w:shd w:fill="EFECF6" w:val="clear"/>
            <w:tcMar>
              <w:top w:type="dxa" w:w="70"/>
              <w:left w:type="dxa" w:w="60"/>
              <w:bottom w:type="dxa" w:w="70"/>
              <w:right w:type="dxa" w:w="60"/>
            </w:tcMar>
            <w:vAlign w:val="center"/>
          </w:tcPr>
          <w:p>
            <w:pPr>
              <w:spacing w:after="0" w:line="230"/>
              <w:jc w:val="center"/>
            </w:pPr>
            <w:r>
              <w:rPr>
                <w:b/>
                <w:bCs/>
                <w:color w:val="63558A"/>
                <w:sz w:val="17"/>
                <w:szCs w:val="17"/>
              </w:rPr>
              <w:t xml:space="preserve">violet = answers, explained</w:t>
            </w:r>
          </w:p>
        </w:tc>
        <w:tc>
          <w:tcPr>
            <w:tcW w:type="dxa" w:w="1872"/>
            <w:tcBorders>
              <w:top w:val="single" w:color="3F7A75" w:sz="16"/>
              <w:left w:val="none" w:color="FFFFFF" w:sz="0"/>
              <w:bottom w:val="none" w:color="FFFFFF" w:sz="0"/>
              <w:right w:val="none" w:color="FFFFFF" w:sz="0"/>
            </w:tcBorders>
            <w:shd w:fill="E7F1F0" w:val="clear"/>
            <w:tcMar>
              <w:top w:type="dxa" w:w="70"/>
              <w:left w:type="dxa" w:w="60"/>
              <w:bottom w:type="dxa" w:w="70"/>
              <w:right w:type="dxa" w:w="60"/>
            </w:tcMar>
            <w:vAlign w:val="center"/>
          </w:tcPr>
          <w:p>
            <w:pPr>
              <w:spacing w:after="0" w:line="230"/>
              <w:jc w:val="center"/>
            </w:pPr>
            <w:r>
              <w:rPr>
                <w:b/>
                <w:bCs/>
                <w:color w:val="3F7A75"/>
                <w:sz w:val="17"/>
                <w:szCs w:val="17"/>
              </w:rPr>
              <w:t xml:space="preserve">teal = more practice</w:t>
            </w:r>
          </w:p>
        </w:tc>
      </w:tr>
    </w:tbl>
    <w:p>
      <w:pPr>
        <w:spacing w:after="280" w:line="200"/>
      </w:pPr>
    </w:p>
    <w:p>
      <w:pPr>
        <w:spacing w:after="170" w:before="0" w:line="330"/>
      </w:pPr>
      <w:r>
        <w:t xml:space="preserve">Here's the rhythm that works best:</w:t>
      </w:r>
    </w:p>
    <w:p>
      <w:pPr>
        <w:spacing w:after="150" w:line="330"/>
        <w:ind w:left="500" w:hanging="500"/>
      </w:pPr>
      <w:r>
        <w:rPr>
          <w:b/>
          <w:bCs/>
          <w:color w:val="5C2C2C"/>
        </w:rPr>
        <w:t xml:space="preserve">0.  </w:t>
      </w:r>
      <w:r>
        <w:rPr>
          <w:b/>
          <w:bCs/>
        </w:rPr>
        <w:t xml:space="preserve">Do the Warm-Up first.</w:t>
      </w:r>
      <w:r>
        <w:t xml:space="preserve">  Two questions you already know how to answer, right at the top of every lesson. Thirty seconds. They're there so you start with a win — momentum is real.</w:t>
      </w:r>
    </w:p>
    <w:p>
      <w:pPr>
        <w:spacing w:after="150" w:line="330"/>
        <w:ind w:left="500" w:hanging="500"/>
      </w:pPr>
      <w:r>
        <w:rPr>
          <w:b/>
          <w:bCs/>
          <w:color w:val="5C2C2C"/>
        </w:rPr>
        <w:t xml:space="preserve">1.  </w:t>
      </w:r>
      <w:r>
        <w:rPr>
          <w:b/>
          <w:bCs/>
        </w:rPr>
        <w:t xml:space="preserve">Read “The Concept” slowly</w:t>
      </w:r>
      <w:r>
        <w:t xml:space="preserve"> (the blue box). This is the idea behind the math. Read it more than once if you need to — out loud even. The idea comes first.</w:t>
      </w:r>
    </w:p>
    <w:p>
      <w:pPr>
        <w:spacing w:after="150" w:line="330"/>
        <w:ind w:left="500" w:hanging="500"/>
      </w:pPr>
      <w:r>
        <w:rPr>
          <w:b/>
          <w:bCs/>
          <w:color w:val="5C2C2C"/>
        </w:rPr>
        <w:t xml:space="preserve">2.  </w:t>
      </w:r>
      <w:r>
        <w:rPr>
          <w:b/>
          <w:bCs/>
        </w:rPr>
        <w:t xml:space="preserve">Study the Worked Examples</w:t>
      </w:r>
      <w:r>
        <w:t xml:space="preserve"> (the green box). Follow each step. Cover the answer with your hand and try to predict the next move.</w:t>
      </w:r>
    </w:p>
    <w:p>
      <w:pPr>
        <w:spacing w:after="150" w:line="330"/>
        <w:ind w:left="500" w:hanging="500"/>
      </w:pPr>
      <w:r>
        <w:rPr>
          <w:b/>
          <w:bCs/>
          <w:color w:val="5C2C2C"/>
        </w:rPr>
        <w:t xml:space="preserve">3.  </w:t>
      </w:r>
      <w:r>
        <w:rPr>
          <w:b/>
          <w:bCs/>
        </w:rPr>
        <w:t xml:space="preserve">Try all five “Check for Understanding” questions on your own</w:t>
      </w:r>
      <w:r>
        <w:t xml:space="preserve"> (the amber box) — before you look at anything. Getting them wrong here costs nothing. That's what they're for. You'll hit a dark red PAUSE bar before every answer key; it means exactly what it says.</w:t>
      </w:r>
    </w:p>
    <w:p>
      <w:pPr>
        <w:spacing w:after="150" w:line="330"/>
        <w:ind w:left="500" w:hanging="500"/>
      </w:pPr>
      <w:r>
        <w:rPr>
          <w:b/>
          <w:bCs/>
          <w:color w:val="5C2C2C"/>
        </w:rPr>
        <w:t xml:space="preserve">4.  </w:t>
      </w:r>
      <w:r>
        <w:rPr>
          <w:b/>
          <w:bCs/>
        </w:rPr>
        <w:t xml:space="preserve">Then read the Answer Key</w:t>
      </w:r>
      <w:r>
        <w:t xml:space="preserve"> (the violet box) </w:t>
      </w:r>
      <w:r>
        <w:rPr>
          <w:b/>
          <w:bCs/>
        </w:rPr>
        <w:t xml:space="preserve">— including the reasoning in parentheses.</w:t>
      </w:r>
      <w:r>
        <w:t xml:space="preserve">  Even the questions you got right. The reasoning is where the learning lives.</w:t>
      </w:r>
    </w:p>
    <w:p>
      <w:pPr>
        <w:spacing w:after="150" w:line="330"/>
        <w:ind w:left="500" w:hanging="500"/>
      </w:pPr>
      <w:r>
        <w:rPr>
          <w:b/>
          <w:bCs/>
          <w:color w:val="5C2C2C"/>
        </w:rPr>
        <w:t xml:space="preserve">5.  </w:t>
      </w:r>
      <w:r>
        <w:rPr>
          <w:b/>
          <w:bCs/>
        </w:rPr>
        <w:t xml:space="preserve">Want more reps? “More Practice”</w:t>
      </w:r>
      <w:r>
        <w:t xml:space="preserve"> (the teal box) is there when you do — eight more questions, with every answer explained.</w:t>
      </w:r>
    </w:p>
    <w:p>
      <w:pPr>
        <w:spacing w:after="150" w:line="330"/>
        <w:ind w:left="500" w:hanging="500"/>
      </w:pPr>
      <w:r>
        <w:rPr>
          <w:b/>
          <w:bCs/>
          <w:color w:val="5C2C2C"/>
        </w:rPr>
        <w:t xml:space="preserve">6.  </w:t>
      </w:r>
      <w:r>
        <w:rPr>
          <w:b/>
          <w:bCs/>
        </w:rPr>
        <w:t xml:space="preserve">Update your Progress Tracker</w:t>
      </w:r>
      <w:r>
        <w:t xml:space="preserve"> honestly. It's for you, not for a grade.</w:t>
      </w:r>
    </w:p>
    <w:p>
      <w:pPr>
        <w:spacing w:after="60" w:line="200"/>
      </w:pPr>
    </w:p>
    <w:p>
      <w:pPr>
        <w:spacing w:after="170" w:before="0" w:line="330"/>
      </w:pPr>
      <w:r>
        <w:t xml:space="preserve">One more signpost: at the top of every lesson there's a small strip telling you </w:t>
      </w:r>
      <w:r>
        <w:rPr>
          <w:b/>
          <w:bCs/>
        </w:rPr>
        <w:t xml:space="preserve">which lesson you're on, which phase of the Roadmap it belongs to, and about how long it takes.</w:t>
      </w:r>
      <w:r>
        <w:t xml:space="preserve">  You always know where you are and what you're in for before you start.</w:t>
      </w:r>
    </w:p>
    <w:p>
      <w:pPr>
        <w:spacing w:after="170" w:before="0" w:line="330"/>
      </w:pPr>
      <w:r>
        <w:t xml:space="preserve">Three honest labels on every tracker: </w:t>
      </w:r>
      <w:r>
        <w:rPr>
          <w:b/>
          <w:bCs/>
        </w:rPr>
        <w:t xml:space="preserve">New to this</w:t>
      </w:r>
      <w:r>
        <w:t xml:space="preserve">, </w:t>
      </w:r>
      <w:r>
        <w:rPr>
          <w:b/>
          <w:bCs/>
        </w:rPr>
        <w:t xml:space="preserve">Practicing</w:t>
      </w:r>
      <w:r>
        <w:t xml:space="preserve">, </w:t>
      </w:r>
      <w:r>
        <w:rPr>
          <w:b/>
          <w:bCs/>
        </w:rPr>
        <w:t xml:space="preserve">Got this!</w:t>
      </w:r>
      <w:r>
        <w:t xml:space="preserve">  Nobody is checking these but you. Marking something “Practicing” is not a failure — it's an accurate, useful thing to know about yourself.</w:t>
      </w:r>
    </w:p>
    <w:p>
      <w:pPr>
        <w:spacing w:after="240" w:before="0" w:line="330"/>
      </w:pPr>
      <w:r>
        <w:rPr>
          <w:b/>
          <w:bCs/>
        </w:rPr>
        <w:t xml:space="preserve">Repeating a lesson is allowed and encouraged.</w:t>
      </w:r>
      <w:r>
        <w:t xml:space="preserve">  Going back over something is not falling behind. It's how mastery actually happens.</w:t>
      </w:r>
    </w:p>
    <w:p>
      <w:pPr>
        <w:pageBreakBefore/>
        <w:spacing w:after="170"/>
      </w:pPr>
      <w:r>
        <w:rPr>
          <w:b/>
          <w:bCs/>
          <w:color w:val="4A2222"/>
          <w:sz w:val="32"/>
          <w:szCs w:val="32"/>
        </w:rPr>
        <w:t xml:space="preserve">When You Get Stuck</w:t>
      </w:r>
    </w:p>
    <w:p>
      <w:pPr>
        <w:spacing w:after="170" w:before="0" w:line="330"/>
      </w:pPr>
      <w:r>
        <w:t xml:space="preserve">Getting stuck is not a sign you can't do this. It is a normal, expected part of learning — it happens to </w:t>
      </w:r>
      <w:r>
        <w:rPr>
          <w:i/>
          <w:iCs/>
        </w:rPr>
        <w:t xml:space="preserve">everyone</w:t>
      </w:r>
      <w:r>
        <w:t xml:space="preserve">, including me. Here is what to do, in order, before you reach for your phone:</w:t>
      </w:r>
    </w:p>
    <w:p>
      <w:pPr>
        <w:spacing w:after="150" w:line="330"/>
        <w:ind w:left="500" w:hanging="500"/>
      </w:pPr>
      <w:r>
        <w:rPr>
          <w:b/>
          <w:bCs/>
          <w:color w:val="5C2C2C"/>
        </w:rPr>
        <w:t xml:space="preserve">1.  </w:t>
      </w:r>
      <w:r>
        <w:rPr>
          <w:b/>
          <w:bCs/>
        </w:rPr>
        <w:t xml:space="preserve">Slow down and re-read.</w:t>
      </w:r>
      <w:r>
        <w:t xml:space="preserve">  Go back to “The Concept” and the Examples and read them again, slowly. Then try the question one more time. A surprising number of walls come down right here.</w:t>
      </w:r>
    </w:p>
    <w:p>
      <w:pPr>
        <w:spacing w:after="150" w:line="330"/>
        <w:ind w:left="500" w:hanging="500"/>
      </w:pPr>
      <w:r>
        <w:rPr>
          <w:b/>
          <w:bCs/>
          <w:color w:val="5C2C2C"/>
        </w:rPr>
        <w:t xml:space="preserve">2.  </w:t>
      </w:r>
      <w:r>
        <w:rPr>
          <w:b/>
          <w:bCs/>
        </w:rPr>
        <w:t xml:space="preserve">Work backward from the answer.</w:t>
      </w:r>
      <w:r>
        <w:t xml:space="preserve">  Look at the Answer Key, but don't just read the answer — follow the reasoning in the parentheses and find the exact spot where your thinking and the key's thinking split apart. That spot is the lesson.</w:t>
      </w:r>
    </w:p>
    <w:p>
      <w:pPr>
        <w:spacing w:after="150" w:line="330"/>
        <w:ind w:left="500" w:hanging="500"/>
      </w:pPr>
      <w:r>
        <w:rPr>
          <w:b/>
          <w:bCs/>
          <w:color w:val="5C2C2C"/>
        </w:rPr>
        <w:t xml:space="preserve">3.  </w:t>
      </w:r>
      <w:r>
        <w:rPr>
          <w:b/>
          <w:bCs/>
        </w:rPr>
        <w:t xml:space="preserve">Park it and keep moving.</w:t>
      </w:r>
      <w:r>
        <w:t xml:space="preserve">  If it still won't click, write the question down, mark that topic “Practicing,” and go on to the next thing. Come back in a day or two — your brain keeps working on it quietly in the background, and problems that felt impossible on Monday often look easy by Wednesday.</w:t>
      </w:r>
    </w:p>
    <w:p>
      <w:pPr>
        <w:spacing w:after="60" w:line="200"/>
      </w:pPr>
    </w:p>
    <w:p>
      <w:pPr>
        <w:spacing w:after="140" w:before="0" w:line="330"/>
      </w:pPr>
      <w:r>
        <w:rPr>
          <w:b/>
          <w:bCs/>
          <w:color w:val="4A2222"/>
          <w:sz w:val="27"/>
          <w:szCs w:val="27"/>
        </w:rPr>
        <w:t xml:space="preserve">If you still need me</w:t>
      </w:r>
    </w:p>
    <w:p>
      <w:pPr>
        <w:spacing w:after="240" w:before="0" w:line="330"/>
      </w:pPr>
      <w:r>
        <w:t xml:space="preserve">For the few knots you truly can't loosen on your own, reach me: </w:t>
      </w:r>
      <w:r>
        <w:rPr>
          <w:b/>
          <w:bCs/>
        </w:rPr>
        <w:t xml:space="preserve">xamyxamu@hotmail.com</w:t>
      </w:r>
      <w:r>
        <w:t xml:space="preserve">, or text/call </w:t>
      </w:r>
      <w:r>
        <w:rPr>
          <w:b/>
          <w:bCs/>
        </w:rPr>
        <w:t xml:space="preserve">845-464-7343</w:t>
      </w:r>
      <w:r>
        <w:t xml:space="preserve">. I'll answer as soon as I can; in summer that may take longer than usual, so send it and keep going rather than waiting on me. Save these messages for the questions that genuinely need a person — and when you hit one, don't be shy. That's exactly what the channel is for.</w:t>
      </w:r>
    </w:p>
    <w:p>
      <w:pPr>
        <w:pageBreakBefore/>
        <w:spacing w:after="170"/>
      </w:pPr>
      <w:r>
        <w:rPr>
          <w:b/>
          <w:bCs/>
          <w:color w:val="4A2222"/>
          <w:sz w:val="32"/>
          <w:szCs w:val="32"/>
        </w:rPr>
        <w:t xml:space="preserve">The Roadmap</w:t>
      </w:r>
    </w:p>
    <w:p>
      <w:pPr>
        <w:spacing w:after="170" w:before="0" w:line="330"/>
      </w:pPr>
      <w:r>
        <w:t xml:space="preserve">Before we calculate, we have to understand the </w:t>
      </w:r>
      <w:r>
        <w:rPr>
          <w:i/>
          <w:iCs/>
        </w:rPr>
        <w:t xml:space="preserve">architecture</w:t>
      </w:r>
      <w:r>
        <w:t xml:space="preserve"> of numbers — then build outward from there. Here is the whole summer at a glance — every topic now points to the exact lesson that teaches it.</w:t>
      </w:r>
    </w:p>
    <w:p>
      <w:pPr>
        <w:spacing w:after="130" w:before="140" w:line="330"/>
      </w:pPr>
      <w:r>
        <w:rPr>
          <w:b/>
          <w:bCs/>
          <w:color w:val="5C2C2C"/>
          <w:sz w:val="27"/>
          <w:szCs w:val="27"/>
        </w:rPr>
        <w:t xml:space="preserve">Phase 1 — Number Sense &amp; the Base-10 System</w:t>
      </w:r>
    </w:p>
    <w:p>
      <w:pPr>
        <w:spacing w:after="120" w:before="0" w:line="330"/>
      </w:pPr>
      <w:r>
        <w:rPr>
          <w:i/>
          <w:iCs/>
        </w:rPr>
        <w:t xml:space="preserve">Before we calculate, we understand how numbers are built.</w:t>
      </w:r>
    </w:p>
    <w:p>
      <w:pPr>
        <w:pStyle w:val="ListParagraph"/>
        <w:numPr>
          <w:ilvl w:val="0"/>
          <w:numId w:val="2"/>
        </w:numPr>
        <w:spacing w:after="130" w:line="330"/>
      </w:pPr>
      <w:r>
        <w:rPr>
          <w:b/>
          <w:bCs/>
        </w:rPr>
        <w:t xml:space="preserve">Place Value</w:t>
      </w:r>
      <w:r>
        <w:t xml:space="preserve"> — the “home” of every digit: ones, tens, hundreds vs. tenths, hundredths.  </w:t>
      </w:r>
      <w:r>
        <w:rPr>
          <w:i/>
          <w:iCs/>
        </w:rPr>
        <w:t xml:space="preserve">(Lesson 1)</w:t>
      </w:r>
    </w:p>
    <w:p>
      <w:pPr>
        <w:pStyle w:val="ListParagraph"/>
        <w:numPr>
          <w:ilvl w:val="0"/>
          <w:numId w:val="2"/>
        </w:numPr>
        <w:spacing w:after="130" w:line="330"/>
      </w:pPr>
      <w:r>
        <w:rPr>
          <w:b/>
          <w:bCs/>
        </w:rPr>
        <w:t xml:space="preserve">Rounding &amp; Estimation</w:t>
      </w:r>
      <w:r>
        <w:t xml:space="preserve"> — when “close enough” is useful, and how to get there.  </w:t>
      </w:r>
      <w:r>
        <w:rPr>
          <w:i/>
          <w:iCs/>
        </w:rPr>
        <w:t xml:space="preserve">(Lesson 2)</w:t>
      </w:r>
    </w:p>
    <w:p>
      <w:pPr>
        <w:pStyle w:val="ListParagraph"/>
        <w:numPr>
          <w:ilvl w:val="0"/>
          <w:numId w:val="2"/>
        </w:numPr>
        <w:spacing w:after="130" w:line="330"/>
      </w:pPr>
      <w:r>
        <w:rPr>
          <w:b/>
          <w:bCs/>
        </w:rPr>
        <w:t xml:space="preserve">Properties of Zero and One</w:t>
      </w:r>
      <w:r>
        <w:t xml:space="preserve"> — why these two numbers are the VIPs of math.  </w:t>
      </w:r>
      <w:r>
        <w:rPr>
          <w:i/>
          <w:iCs/>
        </w:rPr>
        <w:t xml:space="preserve">(the Interlude, right after Lesson 4)</w:t>
      </w:r>
    </w:p>
    <w:p>
      <w:pPr>
        <w:spacing w:after="130" w:before="140" w:line="330"/>
      </w:pPr>
      <w:r>
        <w:rPr>
          <w:b/>
          <w:bCs/>
          <w:color w:val="5C2C2C"/>
          <w:sz w:val="27"/>
          <w:szCs w:val="27"/>
        </w:rPr>
        <w:t xml:space="preserve">Phase 2 — The Core Four (Whole Numbers)</w:t>
      </w:r>
    </w:p>
    <w:p>
      <w:pPr>
        <w:spacing w:after="120" w:before="0" w:line="330"/>
      </w:pPr>
      <w:r>
        <w:rPr>
          <w:i/>
          <w:iCs/>
        </w:rPr>
        <w:t xml:space="preserve">The engine of all math.</w:t>
      </w:r>
    </w:p>
    <w:p>
      <w:pPr>
        <w:pStyle w:val="ListParagraph"/>
        <w:numPr>
          <w:ilvl w:val="0"/>
          <w:numId w:val="2"/>
        </w:numPr>
        <w:spacing w:after="130" w:line="330"/>
      </w:pPr>
      <w:r>
        <w:rPr>
          <w:b/>
          <w:bCs/>
        </w:rPr>
        <w:t xml:space="preserve">Addition &amp; Subtraction</w:t>
      </w:r>
      <w:r>
        <w:t xml:space="preserve"> — combining, and finding the difference.</w:t>
      </w:r>
    </w:p>
    <w:p>
      <w:pPr>
        <w:pStyle w:val="ListParagraph"/>
        <w:numPr>
          <w:ilvl w:val="0"/>
          <w:numId w:val="2"/>
        </w:numPr>
        <w:spacing w:after="130" w:line="330"/>
      </w:pPr>
      <w:r>
        <w:rPr>
          <w:b/>
          <w:bCs/>
        </w:rPr>
        <w:t xml:space="preserve">Multiplication &amp; Division</w:t>
      </w:r>
      <w:r>
        <w:t xml:space="preserve"> — scaling up, and sharing out.</w:t>
      </w:r>
    </w:p>
    <w:p>
      <w:pPr>
        <w:pStyle w:val="ListParagraph"/>
        <w:numPr>
          <w:ilvl w:val="0"/>
          <w:numId w:val="2"/>
        </w:numPr>
        <w:spacing w:after="130" w:line="330"/>
      </w:pPr>
      <w:r>
        <w:rPr>
          <w:b/>
          <w:bCs/>
        </w:rPr>
        <w:t xml:space="preserve">Order of Operations (PEMDAS)</w:t>
      </w:r>
      <w:r>
        <w:t xml:space="preserve"> — the traffic laws of math: which operation goes first.  </w:t>
      </w:r>
      <w:r>
        <w:rPr>
          <w:i/>
          <w:iCs/>
        </w:rPr>
        <w:t xml:space="preserve">(Lesson 14)</w:t>
      </w:r>
    </w:p>
    <w:p>
      <w:pPr>
        <w:spacing w:after="140" w:before="0" w:line="330"/>
      </w:pPr>
      <w:r>
        <w:rPr>
          <w:i/>
          <w:iCs/>
        </w:rPr>
        <w:t xml:space="preserve">A note on the first two: you won't find a lesson titled “Addition.”  The core four operations are the ground under every lesson in this course — you'll sharpen them everywhere, on every page, rather than in one place. What does get its own lesson is their traffic laws: PEMDAS.</w:t>
      </w:r>
    </w:p>
    <w:p>
      <w:pPr>
        <w:spacing w:after="130" w:before="140" w:line="330"/>
      </w:pPr>
      <w:r>
        <w:rPr>
          <w:b/>
          <w:bCs/>
          <w:color w:val="5C2C2C"/>
          <w:sz w:val="27"/>
          <w:szCs w:val="27"/>
        </w:rPr>
        <w:t xml:space="preserve">Phase 3 — Parts of the Whole (Fractions &amp; Decimals)</w:t>
      </w:r>
    </w:p>
    <w:p>
      <w:pPr>
        <w:spacing w:after="120" w:before="0" w:line="330"/>
      </w:pPr>
      <w:r>
        <w:rPr>
          <w:i/>
          <w:iCs/>
        </w:rPr>
        <w:t xml:space="preserve">Where we bridge the gap between counting and measuring.</w:t>
      </w:r>
    </w:p>
    <w:p>
      <w:pPr>
        <w:pStyle w:val="ListParagraph"/>
        <w:numPr>
          <w:ilvl w:val="0"/>
          <w:numId w:val="2"/>
        </w:numPr>
        <w:spacing w:after="130" w:line="330"/>
      </w:pPr>
      <w:r>
        <w:rPr>
          <w:b/>
          <w:bCs/>
        </w:rPr>
        <w:t xml:space="preserve">What Is a Fraction?</w:t>
      </w:r>
      <w:r>
        <w:t xml:space="preserve"> — parts of a whole: pizza slices, tool measurements, hours of the day.  </w:t>
      </w:r>
      <w:r>
        <w:rPr>
          <w:i/>
          <w:iCs/>
        </w:rPr>
        <w:t xml:space="preserve">(Lesson 3)</w:t>
      </w:r>
    </w:p>
    <w:p>
      <w:pPr>
        <w:pStyle w:val="ListParagraph"/>
        <w:numPr>
          <w:ilvl w:val="0"/>
          <w:numId w:val="2"/>
        </w:numPr>
        <w:spacing w:after="130" w:line="330"/>
      </w:pPr>
      <w:r>
        <w:rPr>
          <w:b/>
          <w:bCs/>
        </w:rPr>
        <w:t xml:space="preserve">Equivalent Fractions</w:t>
      </w:r>
      <w:r>
        <w:t xml:space="preserve"> — why 1/2 is the same as 2/4 or 50/100.  </w:t>
      </w:r>
      <w:r>
        <w:rPr>
          <w:i/>
          <w:iCs/>
        </w:rPr>
        <w:t xml:space="preserve">(Lesson 4)</w:t>
      </w:r>
    </w:p>
    <w:p>
      <w:pPr>
        <w:pStyle w:val="ListParagraph"/>
        <w:numPr>
          <w:ilvl w:val="0"/>
          <w:numId w:val="2"/>
        </w:numPr>
        <w:spacing w:after="130" w:line="330"/>
      </w:pPr>
      <w:r>
        <w:rPr>
          <w:b/>
          <w:bCs/>
        </w:rPr>
        <w:t xml:space="preserve">Comparing, Simplifying &amp; Operating with Fractions</w:t>
      </w:r>
      <w:r>
        <w:t xml:space="preserve"> — the working skills.  </w:t>
      </w:r>
      <w:r>
        <w:rPr>
          <w:i/>
          <w:iCs/>
        </w:rPr>
        <w:t xml:space="preserve">(Lessons 5–7)</w:t>
      </w:r>
    </w:p>
    <w:p>
      <w:pPr>
        <w:pStyle w:val="ListParagraph"/>
        <w:numPr>
          <w:ilvl w:val="0"/>
          <w:numId w:val="2"/>
        </w:numPr>
        <w:spacing w:after="130" w:line="330"/>
      </w:pPr>
      <w:r>
        <w:rPr>
          <w:b/>
          <w:bCs/>
        </w:rPr>
        <w:t xml:space="preserve">Decimal Basics &amp; Operating with Decimals</w:t>
      </w:r>
      <w:r>
        <w:t xml:space="preserve"> — connecting decimals to money and place value.  </w:t>
      </w:r>
      <w:r>
        <w:rPr>
          <w:i/>
          <w:iCs/>
        </w:rPr>
        <w:t xml:space="preserve">(Lessons 8–9)</w:t>
      </w:r>
    </w:p>
    <w:p>
      <w:pPr>
        <w:pStyle w:val="ListParagraph"/>
        <w:numPr>
          <w:ilvl w:val="0"/>
          <w:numId w:val="2"/>
        </w:numPr>
        <w:spacing w:after="130" w:line="330"/>
      </w:pPr>
      <w:r>
        <w:rPr>
          <w:b/>
          <w:bCs/>
        </w:rPr>
        <w:t xml:space="preserve">The Conversion Triangle</w:t>
      </w:r>
      <w:r>
        <w:t xml:space="preserve"> — fractions ↔ decimals ↔ percents.  </w:t>
      </w:r>
      <w:r>
        <w:rPr>
          <w:i/>
          <w:iCs/>
        </w:rPr>
        <w:t xml:space="preserve">(Lesson 10)</w:t>
      </w:r>
    </w:p>
    <w:p>
      <w:pPr>
        <w:spacing w:after="130" w:before="140" w:line="330"/>
      </w:pPr>
      <w:r>
        <w:rPr>
          <w:b/>
          <w:bCs/>
          <w:color w:val="5C2C2C"/>
          <w:sz w:val="27"/>
          <w:szCs w:val="27"/>
        </w:rPr>
        <w:t xml:space="preserve">Phase 4 — Relationships &amp; Comparisons</w:t>
      </w:r>
    </w:p>
    <w:p>
      <w:pPr>
        <w:spacing w:after="120" w:before="0" w:line="330"/>
      </w:pPr>
      <w:r>
        <w:rPr>
          <w:i/>
          <w:iCs/>
        </w:rPr>
        <w:t xml:space="preserve">How numbers talk to one another.</w:t>
      </w:r>
    </w:p>
    <w:p>
      <w:pPr>
        <w:pStyle w:val="ListParagraph"/>
        <w:numPr>
          <w:ilvl w:val="0"/>
          <w:numId w:val="2"/>
        </w:numPr>
        <w:spacing w:after="130" w:line="330"/>
      </w:pPr>
      <w:r>
        <w:rPr>
          <w:b/>
          <w:bCs/>
        </w:rPr>
        <w:t xml:space="preserve">Percentages</w:t>
      </w:r>
      <w:r>
        <w:t xml:space="preserve"> — “per 100,” and how it shows up in taxes, tips, and discounts.  </w:t>
      </w:r>
      <w:r>
        <w:rPr>
          <w:i/>
          <w:iCs/>
        </w:rPr>
        <w:t xml:space="preserve">(Lesson 11)</w:t>
      </w:r>
    </w:p>
    <w:p>
      <w:pPr>
        <w:pStyle w:val="ListParagraph"/>
        <w:numPr>
          <w:ilvl w:val="0"/>
          <w:numId w:val="2"/>
        </w:numPr>
        <w:spacing w:after="130" w:line="330"/>
      </w:pPr>
      <w:r>
        <w:rPr>
          <w:b/>
          <w:bCs/>
        </w:rPr>
        <w:t xml:space="preserve">Ratios</w:t>
      </w:r>
      <w:r>
        <w:t xml:space="preserve"> — comparing two quantities (2 cups of water for every 1 cup of rice).  </w:t>
      </w:r>
      <w:r>
        <w:rPr>
          <w:i/>
          <w:iCs/>
        </w:rPr>
        <w:t xml:space="preserve">(Lesson 12)</w:t>
      </w:r>
    </w:p>
    <w:p>
      <w:pPr>
        <w:pStyle w:val="ListParagraph"/>
        <w:numPr>
          <w:ilvl w:val="0"/>
          <w:numId w:val="2"/>
        </w:numPr>
        <w:spacing w:after="130" w:line="330"/>
      </w:pPr>
      <w:r>
        <w:rPr>
          <w:b/>
          <w:bCs/>
        </w:rPr>
        <w:t xml:space="preserve">Proportions</w:t>
      </w:r>
      <w:r>
        <w:t xml:space="preserve"> — solving for the unknown when two ratios are equal.  </w:t>
      </w:r>
      <w:r>
        <w:rPr>
          <w:i/>
          <w:iCs/>
        </w:rPr>
        <w:t xml:space="preserve">(Lesson 13)</w:t>
      </w:r>
    </w:p>
    <w:p>
      <w:pPr>
        <w:spacing w:after="130" w:before="140" w:line="330"/>
      </w:pPr>
      <w:r>
        <w:rPr>
          <w:b/>
          <w:bCs/>
          <w:color w:val="5C2C2C"/>
          <w:sz w:val="27"/>
          <w:szCs w:val="27"/>
        </w:rPr>
        <w:t xml:space="preserve">Phase 5 — Powers &amp; Roots</w:t>
      </w:r>
    </w:p>
    <w:p>
      <w:pPr>
        <w:pStyle w:val="ListParagraph"/>
        <w:numPr>
          <w:ilvl w:val="0"/>
          <w:numId w:val="2"/>
        </w:numPr>
        <w:spacing w:after="130" w:line="330"/>
      </w:pPr>
      <w:r>
        <w:rPr>
          <w:b/>
          <w:bCs/>
        </w:rPr>
        <w:t xml:space="preserve">Positive &amp; Negative Numbers</w:t>
      </w:r>
      <w:r>
        <w:t xml:space="preserve"> — which way on the number line.  </w:t>
      </w:r>
      <w:r>
        <w:rPr>
          <w:i/>
          <w:iCs/>
        </w:rPr>
        <w:t xml:space="preserve">(Lesson 15)</w:t>
      </w:r>
    </w:p>
    <w:p>
      <w:pPr>
        <w:pStyle w:val="ListParagraph"/>
        <w:numPr>
          <w:ilvl w:val="0"/>
          <w:numId w:val="2"/>
        </w:numPr>
        <w:spacing w:after="130" w:line="330"/>
      </w:pPr>
      <w:r>
        <w:rPr>
          <w:b/>
          <w:bCs/>
        </w:rPr>
        <w:t xml:space="preserve">Exponents</w:t>
      </w:r>
      <w:r>
        <w:t xml:space="preserve"> — repeated multiplication, and its nine rules.  </w:t>
      </w:r>
      <w:r>
        <w:rPr>
          <w:i/>
          <w:iCs/>
        </w:rPr>
        <w:t xml:space="preserve">(Lesson 16)</w:t>
      </w:r>
    </w:p>
    <w:p>
      <w:pPr>
        <w:pStyle w:val="ListParagraph"/>
        <w:numPr>
          <w:ilvl w:val="0"/>
          <w:numId w:val="2"/>
        </w:numPr>
        <w:spacing w:after="130" w:line="330"/>
      </w:pPr>
      <w:r>
        <w:rPr>
          <w:b/>
          <w:bCs/>
        </w:rPr>
        <w:t xml:space="preserve">Square Roots</w:t>
      </w:r>
      <w:r>
        <w:t xml:space="preserve"> — the way back from an exponent.  </w:t>
      </w:r>
      <w:r>
        <w:rPr>
          <w:i/>
          <w:iCs/>
        </w:rPr>
        <w:t xml:space="preserve">(Lesson 17)</w:t>
      </w:r>
    </w:p>
    <w:p>
      <w:pPr>
        <w:pStyle w:val="ListParagraph"/>
        <w:numPr>
          <w:ilvl w:val="0"/>
          <w:numId w:val="2"/>
        </w:numPr>
        <w:spacing w:after="130" w:line="330"/>
      </w:pPr>
      <w:r>
        <w:rPr>
          <w:b/>
          <w:bCs/>
        </w:rPr>
        <w:t xml:space="preserve">Factors &amp; Multiples</w:t>
      </w:r>
      <w:r>
        <w:t xml:space="preserve"> — breaking numbers down to their building blocks.  </w:t>
      </w:r>
      <w:r>
        <w:rPr>
          <w:i/>
          <w:iCs/>
        </w:rPr>
        <w:t xml:space="preserve">(Lesson 18)</w:t>
      </w:r>
    </w:p>
    <w:p>
      <w:pPr>
        <w:pStyle w:val="ListParagraph"/>
        <w:numPr>
          <w:ilvl w:val="0"/>
          <w:numId w:val="2"/>
        </w:numPr>
        <w:spacing w:after="130" w:line="330"/>
      </w:pPr>
      <w:r>
        <w:rPr>
          <w:b/>
          <w:bCs/>
        </w:rPr>
        <w:t xml:space="preserve">Putting It Together</w:t>
      </w:r>
      <w:r>
        <w:t xml:space="preserve"> — a mixed review of the whole roadmap.  </w:t>
      </w:r>
      <w:r>
        <w:rPr>
          <w:i/>
          <w:iCs/>
        </w:rPr>
        <w:t xml:space="preserve">(Lesson 19)</w:t>
      </w:r>
    </w:p>
    <w:p>
      <w:pPr>
        <w:spacing w:after="140" w:line="200"/>
      </w:pPr>
    </w:p>
    <w:p>
      <w:pPr>
        <w:pageBreakBefore/>
        <w:spacing w:after="170"/>
      </w:pPr>
      <w:r>
        <w:rPr>
          <w:b/>
          <w:bCs/>
          <w:color w:val="4A2222"/>
          <w:sz w:val="32"/>
          <w:szCs w:val="32"/>
        </w:rPr>
        <w:t xml:space="preserve">Your Progress Tracker</w:t>
      </w:r>
    </w:p>
    <w:p>
      <w:pPr>
        <w:spacing w:after="170" w:before="0" w:line="330"/>
      </w:pPr>
      <w:r>
        <w:t xml:space="preserve">This is your whole summer on one page — one row for every lesson, in the order they live in the installments. Each time you finish working on a lesson, put a check in the column that's honest for </w:t>
      </w:r>
      <w:r>
        <w:rPr>
          <w:i/>
          <w:iCs/>
        </w:rPr>
        <w:t xml:space="preserve">today</w:t>
      </w:r>
      <w:r>
        <w:t xml:space="preserve"> — it can move as you go. Pencil is your friend.</w:t>
      </w:r>
    </w:p>
    <w:tbl>
      <w:tblPr>
        <w:tblW w:type="dxa" w:w="9360"/>
        <w:tblBorders>
          <w:top w:val="single" w:color="C08552" w:sz="6"/>
          <w:left w:val="single" w:color="C08552" w:sz="6"/>
          <w:bottom w:val="single" w:color="C08552" w:sz="6"/>
          <w:right w:val="single" w:color="C08552" w:sz="6"/>
          <w:insideH w:val="single" w:color="C08552" w:sz="6"/>
          <w:insideV w:val="single" w:color="C08552" w:sz="6"/>
        </w:tblBorders>
      </w:tblPr>
      <w:tblGrid>
        <w:gridCol w:w="5760"/>
        <w:gridCol w:w="1200"/>
        <w:gridCol w:w="1200"/>
        <w:gridCol w:w="1200"/>
      </w:tblGrid>
      <w:tr>
        <w:trPr>
          <w:tblHeader/>
        </w:trPr>
        <w:tc>
          <w:tcPr>
            <w:tcW w:type="dxa" w:w="5760"/>
            <w:shd w:fill="4A2222" w:val="clear"/>
            <w:tcMar>
              <w:top w:type="dxa" w:w="80"/>
              <w:left w:type="dxa" w:w="140"/>
              <w:bottom w:type="dxa" w:w="80"/>
              <w:right w:type="dxa" w:w="100"/>
            </w:tcMar>
            <w:vAlign w:val="center"/>
          </w:tcPr>
          <w:p>
            <w:pPr>
              <w:spacing w:after="0" w:line="260"/>
              <w:jc w:val="left"/>
            </w:pPr>
            <w:r>
              <w:rPr>
                <w:b/>
                <w:bCs/>
                <w:color w:val="F7F1DE"/>
                <w:sz w:val="20"/>
                <w:szCs w:val="20"/>
              </w:rPr>
              <w:t xml:space="preserve">Topic</w:t>
            </w:r>
          </w:p>
        </w:tc>
        <w:tc>
          <w:tcPr>
            <w:tcW w:type="dxa" w:w="1200"/>
            <w:shd w:fill="4A2222" w:val="clear"/>
            <w:tcMar>
              <w:top w:type="dxa" w:w="80"/>
              <w:left w:type="dxa" w:w="140"/>
              <w:bottom w:type="dxa" w:w="80"/>
              <w:right w:type="dxa" w:w="100"/>
            </w:tcMar>
            <w:vAlign w:val="center"/>
          </w:tcPr>
          <w:p>
            <w:pPr>
              <w:spacing w:after="0" w:line="260"/>
              <w:jc w:val="center"/>
            </w:pPr>
            <w:r>
              <w:rPr>
                <w:b/>
                <w:bCs/>
                <w:color w:val="F7F1DE"/>
                <w:sz w:val="20"/>
                <w:szCs w:val="20"/>
              </w:rPr>
              <w:t xml:space="preserve">New to this</w:t>
            </w:r>
          </w:p>
        </w:tc>
        <w:tc>
          <w:tcPr>
            <w:tcW w:type="dxa" w:w="1200"/>
            <w:shd w:fill="4A2222" w:val="clear"/>
            <w:tcMar>
              <w:top w:type="dxa" w:w="80"/>
              <w:left w:type="dxa" w:w="140"/>
              <w:bottom w:type="dxa" w:w="80"/>
              <w:right w:type="dxa" w:w="100"/>
            </w:tcMar>
            <w:vAlign w:val="center"/>
          </w:tcPr>
          <w:p>
            <w:pPr>
              <w:spacing w:after="0" w:line="260"/>
              <w:jc w:val="center"/>
            </w:pPr>
            <w:r>
              <w:rPr>
                <w:b/>
                <w:bCs/>
                <w:color w:val="F7F1DE"/>
                <w:sz w:val="20"/>
                <w:szCs w:val="20"/>
              </w:rPr>
              <w:t xml:space="preserve">Practicing</w:t>
            </w:r>
          </w:p>
        </w:tc>
        <w:tc>
          <w:tcPr>
            <w:tcW w:type="dxa" w:w="1200"/>
            <w:shd w:fill="4A2222" w:val="clear"/>
            <w:tcMar>
              <w:top w:type="dxa" w:w="80"/>
              <w:left w:type="dxa" w:w="140"/>
              <w:bottom w:type="dxa" w:w="80"/>
              <w:right w:type="dxa" w:w="100"/>
            </w:tcMar>
            <w:vAlign w:val="center"/>
          </w:tcPr>
          <w:p>
            <w:pPr>
              <w:spacing w:after="0" w:line="260"/>
              <w:jc w:val="center"/>
            </w:pPr>
            <w:r>
              <w:rPr>
                <w:b/>
                <w:bCs/>
                <w:color w:val="F7F1DE"/>
                <w:sz w:val="20"/>
                <w:szCs w:val="20"/>
              </w:rPr>
              <w:t xml:space="preserve">Got this!</w:t>
            </w:r>
          </w:p>
        </w:tc>
      </w:tr>
      <w:tr>
        <w:tc>
          <w:tcPr>
            <w:tcW w:type="dxa" w:w="5760"/>
            <w:shd w:fill="F6F0E2" w:val="clear"/>
            <w:tcMar>
              <w:top w:type="dxa" w:w="80"/>
              <w:left w:type="dxa" w:w="140"/>
              <w:bottom w:type="dxa" w:w="80"/>
              <w:right w:type="dxa" w:w="100"/>
            </w:tcMar>
            <w:vAlign w:val="center"/>
          </w:tcPr>
          <w:p>
            <w:pPr>
              <w:spacing w:after="0" w:line="260"/>
              <w:jc w:val="left"/>
            </w:pPr>
            <w:r>
              <w:rPr>
                <w:b/>
                <w:bCs/>
                <w:color w:val="4A2222"/>
                <w:sz w:val="22"/>
                <w:szCs w:val="22"/>
              </w:rPr>
              <w:t xml:space="preserve">Installment 1 — First Lessons</w:t>
            </w:r>
          </w:p>
        </w:tc>
        <w:tc>
          <w:tcPr>
            <w:tcW w:type="dxa" w:w="1200"/>
            <w:shd w:fill="F6F0E2" w:val="clear"/>
            <w:tcMar>
              <w:top w:type="dxa" w:w="80"/>
              <w:left w:type="dxa" w:w="140"/>
              <w:bottom w:type="dxa" w:w="80"/>
              <w:right w:type="dxa" w:w="100"/>
            </w:tcMar>
            <w:vAlign w:val="center"/>
          </w:tcPr>
          <w:p>
            <w:pPr>
              <w:spacing w:after="0" w:line="260"/>
              <w:jc w:val="center"/>
            </w:pPr>
          </w:p>
        </w:tc>
        <w:tc>
          <w:tcPr>
            <w:tcW w:type="dxa" w:w="1200"/>
            <w:shd w:fill="F6F0E2" w:val="clear"/>
            <w:tcMar>
              <w:top w:type="dxa" w:w="80"/>
              <w:left w:type="dxa" w:w="140"/>
              <w:bottom w:type="dxa" w:w="80"/>
              <w:right w:type="dxa" w:w="100"/>
            </w:tcMar>
            <w:vAlign w:val="center"/>
          </w:tcPr>
          <w:p>
            <w:pPr>
              <w:spacing w:after="0" w:line="260"/>
              <w:jc w:val="center"/>
            </w:pPr>
          </w:p>
        </w:tc>
        <w:tc>
          <w:tcPr>
            <w:tcW w:type="dxa" w:w="1200"/>
            <w:shd w:fill="F6F0E2" w:val="clear"/>
            <w:tcMar>
              <w:top w:type="dxa" w:w="80"/>
              <w:left w:type="dxa" w:w="140"/>
              <w:bottom w:type="dxa" w:w="80"/>
              <w:right w:type="dxa" w:w="100"/>
            </w:tcMar>
            <w:vAlign w:val="center"/>
          </w:tcPr>
          <w:p>
            <w:pPr>
              <w:spacing w:after="0" w:line="260"/>
              <w:jc w:val="center"/>
            </w:pPr>
          </w:p>
        </w:tc>
      </w:tr>
      <w:tr>
        <w:tc>
          <w:tcPr>
            <w:tcW w:type="dxa" w:w="5760"/>
            <w:shd w:fill="FFFFFF" w:val="clear"/>
            <w:tcMar>
              <w:top w:type="dxa" w:w="80"/>
              <w:left w:type="dxa" w:w="140"/>
              <w:bottom w:type="dxa" w:w="80"/>
              <w:right w:type="dxa" w:w="100"/>
            </w:tcMar>
            <w:vAlign w:val="center"/>
          </w:tcPr>
          <w:p>
            <w:pPr>
              <w:spacing w:after="0" w:line="260"/>
              <w:jc w:val="left"/>
            </w:pPr>
            <w:r>
              <w:rPr>
                <w:color w:val="2A1410"/>
                <w:sz w:val="22"/>
                <w:szCs w:val="22"/>
              </w:rPr>
              <w:t xml:space="preserve">Lesson 1 · Place Value &amp; the Power of 10</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r>
      <w:tr>
        <w:tc>
          <w:tcPr>
            <w:tcW w:type="dxa" w:w="5760"/>
            <w:shd w:fill="FFFFFF" w:val="clear"/>
            <w:tcMar>
              <w:top w:type="dxa" w:w="80"/>
              <w:left w:type="dxa" w:w="140"/>
              <w:bottom w:type="dxa" w:w="80"/>
              <w:right w:type="dxa" w:w="100"/>
            </w:tcMar>
            <w:vAlign w:val="center"/>
          </w:tcPr>
          <w:p>
            <w:pPr>
              <w:spacing w:after="0" w:line="260"/>
              <w:jc w:val="left"/>
            </w:pPr>
            <w:r>
              <w:rPr>
                <w:color w:val="2A1410"/>
                <w:sz w:val="22"/>
                <w:szCs w:val="22"/>
              </w:rPr>
              <w:t xml:space="preserve">Lesson 2 · Rounding &amp; Estimation</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r>
      <w:tr>
        <w:tc>
          <w:tcPr>
            <w:tcW w:type="dxa" w:w="5760"/>
            <w:shd w:fill="FFFFFF" w:val="clear"/>
            <w:tcMar>
              <w:top w:type="dxa" w:w="80"/>
              <w:left w:type="dxa" w:w="140"/>
              <w:bottom w:type="dxa" w:w="80"/>
              <w:right w:type="dxa" w:w="100"/>
            </w:tcMar>
            <w:vAlign w:val="center"/>
          </w:tcPr>
          <w:p>
            <w:pPr>
              <w:spacing w:after="0" w:line="260"/>
              <w:jc w:val="left"/>
            </w:pPr>
            <w:r>
              <w:rPr>
                <w:color w:val="2A1410"/>
                <w:sz w:val="22"/>
                <w:szCs w:val="22"/>
              </w:rPr>
              <w:t xml:space="preserve">Lesson 3 · The Big Picture of Fractions</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r>
      <w:tr>
        <w:tc>
          <w:tcPr>
            <w:tcW w:type="dxa" w:w="5760"/>
            <w:shd w:fill="FFFFFF" w:val="clear"/>
            <w:tcMar>
              <w:top w:type="dxa" w:w="80"/>
              <w:left w:type="dxa" w:w="140"/>
              <w:bottom w:type="dxa" w:w="80"/>
              <w:right w:type="dxa" w:w="100"/>
            </w:tcMar>
            <w:vAlign w:val="center"/>
          </w:tcPr>
          <w:p>
            <w:pPr>
              <w:spacing w:after="0" w:line="260"/>
              <w:jc w:val="left"/>
            </w:pPr>
            <w:r>
              <w:rPr>
                <w:color w:val="2A1410"/>
                <w:sz w:val="22"/>
                <w:szCs w:val="22"/>
              </w:rPr>
              <w:t xml:space="preserve">Lesson 4 · Equivalent Fractions</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r>
      <w:tr>
        <w:tc>
          <w:tcPr>
            <w:tcW w:type="dxa" w:w="5760"/>
            <w:shd w:fill="FFFFFF" w:val="clear"/>
            <w:tcMar>
              <w:top w:type="dxa" w:w="80"/>
              <w:left w:type="dxa" w:w="140"/>
              <w:bottom w:type="dxa" w:w="80"/>
              <w:right w:type="dxa" w:w="100"/>
            </w:tcMar>
            <w:vAlign w:val="center"/>
          </w:tcPr>
          <w:p>
            <w:pPr>
              <w:spacing w:after="0" w:line="260"/>
              <w:jc w:val="left"/>
            </w:pPr>
            <w:r>
              <w:rPr>
                <w:color w:val="2A1410"/>
                <w:sz w:val="22"/>
                <w:szCs w:val="22"/>
              </w:rPr>
              <w:t xml:space="preserve">Interlude · The VIPs of Math: Zero &amp; One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r>
      <w:tr>
        <w:tc>
          <w:tcPr>
            <w:tcW w:type="dxa" w:w="5760"/>
            <w:shd w:fill="F6F0E2" w:val="clear"/>
            <w:tcMar>
              <w:top w:type="dxa" w:w="80"/>
              <w:left w:type="dxa" w:w="140"/>
              <w:bottom w:type="dxa" w:w="80"/>
              <w:right w:type="dxa" w:w="100"/>
            </w:tcMar>
            <w:vAlign w:val="center"/>
          </w:tcPr>
          <w:p>
            <w:pPr>
              <w:spacing w:after="0" w:line="260"/>
              <w:jc w:val="left"/>
            </w:pPr>
            <w:r>
              <w:rPr>
                <w:b/>
                <w:bCs/>
                <w:color w:val="4A2222"/>
                <w:sz w:val="22"/>
                <w:szCs w:val="22"/>
              </w:rPr>
              <w:t xml:space="preserve">Installment 2 — Working With Fractions</w:t>
            </w:r>
          </w:p>
        </w:tc>
        <w:tc>
          <w:tcPr>
            <w:tcW w:type="dxa" w:w="1200"/>
            <w:shd w:fill="F6F0E2" w:val="clear"/>
            <w:tcMar>
              <w:top w:type="dxa" w:w="80"/>
              <w:left w:type="dxa" w:w="140"/>
              <w:bottom w:type="dxa" w:w="80"/>
              <w:right w:type="dxa" w:w="100"/>
            </w:tcMar>
            <w:vAlign w:val="center"/>
          </w:tcPr>
          <w:p>
            <w:pPr>
              <w:spacing w:after="0" w:line="260"/>
              <w:jc w:val="center"/>
            </w:pPr>
          </w:p>
        </w:tc>
        <w:tc>
          <w:tcPr>
            <w:tcW w:type="dxa" w:w="1200"/>
            <w:shd w:fill="F6F0E2" w:val="clear"/>
            <w:tcMar>
              <w:top w:type="dxa" w:w="80"/>
              <w:left w:type="dxa" w:w="140"/>
              <w:bottom w:type="dxa" w:w="80"/>
              <w:right w:type="dxa" w:w="100"/>
            </w:tcMar>
            <w:vAlign w:val="center"/>
          </w:tcPr>
          <w:p>
            <w:pPr>
              <w:spacing w:after="0" w:line="260"/>
              <w:jc w:val="center"/>
            </w:pPr>
          </w:p>
        </w:tc>
        <w:tc>
          <w:tcPr>
            <w:tcW w:type="dxa" w:w="1200"/>
            <w:shd w:fill="F6F0E2" w:val="clear"/>
            <w:tcMar>
              <w:top w:type="dxa" w:w="80"/>
              <w:left w:type="dxa" w:w="140"/>
              <w:bottom w:type="dxa" w:w="80"/>
              <w:right w:type="dxa" w:w="100"/>
            </w:tcMar>
            <w:vAlign w:val="center"/>
          </w:tcPr>
          <w:p>
            <w:pPr>
              <w:spacing w:after="0" w:line="260"/>
              <w:jc w:val="center"/>
            </w:pPr>
          </w:p>
        </w:tc>
      </w:tr>
      <w:tr>
        <w:tc>
          <w:tcPr>
            <w:tcW w:type="dxa" w:w="5760"/>
            <w:shd w:fill="FFFFFF" w:val="clear"/>
            <w:tcMar>
              <w:top w:type="dxa" w:w="80"/>
              <w:left w:type="dxa" w:w="140"/>
              <w:bottom w:type="dxa" w:w="80"/>
              <w:right w:type="dxa" w:w="100"/>
            </w:tcMar>
            <w:vAlign w:val="center"/>
          </w:tcPr>
          <w:p>
            <w:pPr>
              <w:spacing w:after="0" w:line="260"/>
              <w:jc w:val="left"/>
            </w:pPr>
            <w:r>
              <w:rPr>
                <w:color w:val="2A1410"/>
                <w:sz w:val="22"/>
                <w:szCs w:val="22"/>
              </w:rPr>
              <w:t xml:space="preserve">Lesson 5 · Comparing &amp; Simplifying Fractions</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r>
      <w:tr>
        <w:tc>
          <w:tcPr>
            <w:tcW w:type="dxa" w:w="5760"/>
            <w:shd w:fill="FFFFFF" w:val="clear"/>
            <w:tcMar>
              <w:top w:type="dxa" w:w="80"/>
              <w:left w:type="dxa" w:w="140"/>
              <w:bottom w:type="dxa" w:w="80"/>
              <w:right w:type="dxa" w:w="100"/>
            </w:tcMar>
            <w:vAlign w:val="center"/>
          </w:tcPr>
          <w:p>
            <w:pPr>
              <w:spacing w:after="0" w:line="260"/>
              <w:jc w:val="left"/>
            </w:pPr>
            <w:r>
              <w:rPr>
                <w:color w:val="2A1410"/>
                <w:sz w:val="22"/>
                <w:szCs w:val="22"/>
              </w:rPr>
              <w:t xml:space="preserve">Lesson 6 · Adding &amp; Subtracting Fractions</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r>
      <w:tr>
        <w:tc>
          <w:tcPr>
            <w:tcW w:type="dxa" w:w="5760"/>
            <w:shd w:fill="FFFFFF" w:val="clear"/>
            <w:tcMar>
              <w:top w:type="dxa" w:w="80"/>
              <w:left w:type="dxa" w:w="140"/>
              <w:bottom w:type="dxa" w:w="80"/>
              <w:right w:type="dxa" w:w="100"/>
            </w:tcMar>
            <w:vAlign w:val="center"/>
          </w:tcPr>
          <w:p>
            <w:pPr>
              <w:spacing w:after="0" w:line="260"/>
              <w:jc w:val="left"/>
            </w:pPr>
            <w:r>
              <w:rPr>
                <w:color w:val="2A1410"/>
                <w:sz w:val="22"/>
                <w:szCs w:val="22"/>
              </w:rPr>
              <w:t xml:space="preserve">Lesson 7 · Multiplying &amp; Dividing Fractions</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r>
      <w:tr>
        <w:tc>
          <w:tcPr>
            <w:tcW w:type="dxa" w:w="5760"/>
            <w:shd w:fill="F6F0E2" w:val="clear"/>
            <w:tcMar>
              <w:top w:type="dxa" w:w="80"/>
              <w:left w:type="dxa" w:w="140"/>
              <w:bottom w:type="dxa" w:w="80"/>
              <w:right w:type="dxa" w:w="100"/>
            </w:tcMar>
            <w:vAlign w:val="center"/>
          </w:tcPr>
          <w:p>
            <w:pPr>
              <w:spacing w:after="0" w:line="260"/>
              <w:jc w:val="left"/>
            </w:pPr>
            <w:r>
              <w:rPr>
                <w:b/>
                <w:bCs/>
                <w:color w:val="4A2222"/>
                <w:sz w:val="22"/>
                <w:szCs w:val="22"/>
              </w:rPr>
              <w:t xml:space="preserve">Installment 3 — Decimals &amp; the Conversion Triangle</w:t>
            </w:r>
          </w:p>
        </w:tc>
        <w:tc>
          <w:tcPr>
            <w:tcW w:type="dxa" w:w="1200"/>
            <w:shd w:fill="F6F0E2" w:val="clear"/>
            <w:tcMar>
              <w:top w:type="dxa" w:w="80"/>
              <w:left w:type="dxa" w:w="140"/>
              <w:bottom w:type="dxa" w:w="80"/>
              <w:right w:type="dxa" w:w="100"/>
            </w:tcMar>
            <w:vAlign w:val="center"/>
          </w:tcPr>
          <w:p>
            <w:pPr>
              <w:spacing w:after="0" w:line="260"/>
              <w:jc w:val="center"/>
            </w:pPr>
          </w:p>
        </w:tc>
        <w:tc>
          <w:tcPr>
            <w:tcW w:type="dxa" w:w="1200"/>
            <w:shd w:fill="F6F0E2" w:val="clear"/>
            <w:tcMar>
              <w:top w:type="dxa" w:w="80"/>
              <w:left w:type="dxa" w:w="140"/>
              <w:bottom w:type="dxa" w:w="80"/>
              <w:right w:type="dxa" w:w="100"/>
            </w:tcMar>
            <w:vAlign w:val="center"/>
          </w:tcPr>
          <w:p>
            <w:pPr>
              <w:spacing w:after="0" w:line="260"/>
              <w:jc w:val="center"/>
            </w:pPr>
          </w:p>
        </w:tc>
        <w:tc>
          <w:tcPr>
            <w:tcW w:type="dxa" w:w="1200"/>
            <w:shd w:fill="F6F0E2" w:val="clear"/>
            <w:tcMar>
              <w:top w:type="dxa" w:w="80"/>
              <w:left w:type="dxa" w:w="140"/>
              <w:bottom w:type="dxa" w:w="80"/>
              <w:right w:type="dxa" w:w="100"/>
            </w:tcMar>
            <w:vAlign w:val="center"/>
          </w:tcPr>
          <w:p>
            <w:pPr>
              <w:spacing w:after="0" w:line="260"/>
              <w:jc w:val="center"/>
            </w:pPr>
          </w:p>
        </w:tc>
      </w:tr>
      <w:tr>
        <w:tc>
          <w:tcPr>
            <w:tcW w:type="dxa" w:w="5760"/>
            <w:shd w:fill="FFFFFF" w:val="clear"/>
            <w:tcMar>
              <w:top w:type="dxa" w:w="80"/>
              <w:left w:type="dxa" w:w="140"/>
              <w:bottom w:type="dxa" w:w="80"/>
              <w:right w:type="dxa" w:w="100"/>
            </w:tcMar>
            <w:vAlign w:val="center"/>
          </w:tcPr>
          <w:p>
            <w:pPr>
              <w:spacing w:after="0" w:line="260"/>
              <w:jc w:val="left"/>
            </w:pPr>
            <w:r>
              <w:rPr>
                <w:color w:val="2A1410"/>
                <w:sz w:val="22"/>
                <w:szCs w:val="22"/>
              </w:rPr>
              <w:t xml:space="preserve">Lesson 8 · Decimal Basics</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r>
      <w:tr>
        <w:tc>
          <w:tcPr>
            <w:tcW w:type="dxa" w:w="5760"/>
            <w:shd w:fill="FFFFFF" w:val="clear"/>
            <w:tcMar>
              <w:top w:type="dxa" w:w="80"/>
              <w:left w:type="dxa" w:w="140"/>
              <w:bottom w:type="dxa" w:w="80"/>
              <w:right w:type="dxa" w:w="100"/>
            </w:tcMar>
            <w:vAlign w:val="center"/>
          </w:tcPr>
          <w:p>
            <w:pPr>
              <w:spacing w:after="0" w:line="260"/>
              <w:jc w:val="left"/>
            </w:pPr>
            <w:r>
              <w:rPr>
                <w:color w:val="2A1410"/>
                <w:sz w:val="22"/>
                <w:szCs w:val="22"/>
              </w:rPr>
              <w:t xml:space="preserve">Lesson 9 · Operating with Decimals</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r>
      <w:tr>
        <w:tc>
          <w:tcPr>
            <w:tcW w:type="dxa" w:w="5760"/>
            <w:shd w:fill="FFFFFF" w:val="clear"/>
            <w:tcMar>
              <w:top w:type="dxa" w:w="80"/>
              <w:left w:type="dxa" w:w="140"/>
              <w:bottom w:type="dxa" w:w="80"/>
              <w:right w:type="dxa" w:w="100"/>
            </w:tcMar>
            <w:vAlign w:val="center"/>
          </w:tcPr>
          <w:p>
            <w:pPr>
              <w:spacing w:after="0" w:line="260"/>
              <w:jc w:val="left"/>
            </w:pPr>
            <w:r>
              <w:rPr>
                <w:color w:val="2A1410"/>
                <w:sz w:val="22"/>
                <w:szCs w:val="22"/>
              </w:rPr>
              <w:t xml:space="preserve">Lesson 10 · Fractions ↔ Decimals ↔ Percents</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r>
      <w:tr>
        <w:tc>
          <w:tcPr>
            <w:tcW w:type="dxa" w:w="5760"/>
            <w:shd w:fill="F6F0E2" w:val="clear"/>
            <w:tcMar>
              <w:top w:type="dxa" w:w="80"/>
              <w:left w:type="dxa" w:w="140"/>
              <w:bottom w:type="dxa" w:w="80"/>
              <w:right w:type="dxa" w:w="100"/>
            </w:tcMar>
            <w:vAlign w:val="center"/>
          </w:tcPr>
          <w:p>
            <w:pPr>
              <w:spacing w:after="0" w:line="260"/>
              <w:jc w:val="left"/>
            </w:pPr>
            <w:r>
              <w:rPr>
                <w:b/>
                <w:bCs/>
                <w:color w:val="4A2222"/>
                <w:sz w:val="22"/>
                <w:szCs w:val="22"/>
              </w:rPr>
              <w:t xml:space="preserve">Installment 4 — Percentages, Ratios &amp; Proportions</w:t>
            </w:r>
          </w:p>
        </w:tc>
        <w:tc>
          <w:tcPr>
            <w:tcW w:type="dxa" w:w="1200"/>
            <w:shd w:fill="F6F0E2" w:val="clear"/>
            <w:tcMar>
              <w:top w:type="dxa" w:w="80"/>
              <w:left w:type="dxa" w:w="140"/>
              <w:bottom w:type="dxa" w:w="80"/>
              <w:right w:type="dxa" w:w="100"/>
            </w:tcMar>
            <w:vAlign w:val="center"/>
          </w:tcPr>
          <w:p>
            <w:pPr>
              <w:spacing w:after="0" w:line="260"/>
              <w:jc w:val="center"/>
            </w:pPr>
          </w:p>
        </w:tc>
        <w:tc>
          <w:tcPr>
            <w:tcW w:type="dxa" w:w="1200"/>
            <w:shd w:fill="F6F0E2" w:val="clear"/>
            <w:tcMar>
              <w:top w:type="dxa" w:w="80"/>
              <w:left w:type="dxa" w:w="140"/>
              <w:bottom w:type="dxa" w:w="80"/>
              <w:right w:type="dxa" w:w="100"/>
            </w:tcMar>
            <w:vAlign w:val="center"/>
          </w:tcPr>
          <w:p>
            <w:pPr>
              <w:spacing w:after="0" w:line="260"/>
              <w:jc w:val="center"/>
            </w:pPr>
          </w:p>
        </w:tc>
        <w:tc>
          <w:tcPr>
            <w:tcW w:type="dxa" w:w="1200"/>
            <w:shd w:fill="F6F0E2" w:val="clear"/>
            <w:tcMar>
              <w:top w:type="dxa" w:w="80"/>
              <w:left w:type="dxa" w:w="140"/>
              <w:bottom w:type="dxa" w:w="80"/>
              <w:right w:type="dxa" w:w="100"/>
            </w:tcMar>
            <w:vAlign w:val="center"/>
          </w:tcPr>
          <w:p>
            <w:pPr>
              <w:spacing w:after="0" w:line="260"/>
              <w:jc w:val="center"/>
            </w:pPr>
          </w:p>
        </w:tc>
      </w:tr>
      <w:tr>
        <w:tc>
          <w:tcPr>
            <w:tcW w:type="dxa" w:w="5760"/>
            <w:shd w:fill="FFFFFF" w:val="clear"/>
            <w:tcMar>
              <w:top w:type="dxa" w:w="80"/>
              <w:left w:type="dxa" w:w="140"/>
              <w:bottom w:type="dxa" w:w="80"/>
              <w:right w:type="dxa" w:w="100"/>
            </w:tcMar>
            <w:vAlign w:val="center"/>
          </w:tcPr>
          <w:p>
            <w:pPr>
              <w:spacing w:after="0" w:line="260"/>
              <w:jc w:val="left"/>
            </w:pPr>
            <w:r>
              <w:rPr>
                <w:color w:val="2A1410"/>
                <w:sz w:val="22"/>
                <w:szCs w:val="22"/>
              </w:rPr>
              <w:t xml:space="preserve">Lesson 11 · Percentages</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r>
      <w:tr>
        <w:tc>
          <w:tcPr>
            <w:tcW w:type="dxa" w:w="5760"/>
            <w:shd w:fill="FFFFFF" w:val="clear"/>
            <w:tcMar>
              <w:top w:type="dxa" w:w="80"/>
              <w:left w:type="dxa" w:w="140"/>
              <w:bottom w:type="dxa" w:w="80"/>
              <w:right w:type="dxa" w:w="100"/>
            </w:tcMar>
            <w:vAlign w:val="center"/>
          </w:tcPr>
          <w:p>
            <w:pPr>
              <w:spacing w:after="0" w:line="260"/>
              <w:jc w:val="left"/>
            </w:pPr>
            <w:r>
              <w:rPr>
                <w:color w:val="2A1410"/>
                <w:sz w:val="22"/>
                <w:szCs w:val="22"/>
              </w:rPr>
              <w:t xml:space="preserve">Lesson 12 · Ratios</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r>
      <w:tr>
        <w:tc>
          <w:tcPr>
            <w:tcW w:type="dxa" w:w="5760"/>
            <w:shd w:fill="FFFFFF" w:val="clear"/>
            <w:tcMar>
              <w:top w:type="dxa" w:w="80"/>
              <w:left w:type="dxa" w:w="140"/>
              <w:bottom w:type="dxa" w:w="80"/>
              <w:right w:type="dxa" w:w="100"/>
            </w:tcMar>
            <w:vAlign w:val="center"/>
          </w:tcPr>
          <w:p>
            <w:pPr>
              <w:spacing w:after="0" w:line="260"/>
              <w:jc w:val="left"/>
            </w:pPr>
            <w:r>
              <w:rPr>
                <w:color w:val="2A1410"/>
                <w:sz w:val="22"/>
                <w:szCs w:val="22"/>
              </w:rPr>
              <w:t xml:space="preserve">Lesson 13 · Proportions</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r>
      <w:tr>
        <w:tc>
          <w:tcPr>
            <w:tcW w:type="dxa" w:w="5760"/>
            <w:shd w:fill="F6F0E2" w:val="clear"/>
            <w:tcMar>
              <w:top w:type="dxa" w:w="80"/>
              <w:left w:type="dxa" w:w="140"/>
              <w:bottom w:type="dxa" w:w="80"/>
              <w:right w:type="dxa" w:w="100"/>
            </w:tcMar>
            <w:vAlign w:val="center"/>
          </w:tcPr>
          <w:p>
            <w:pPr>
              <w:spacing w:after="0" w:line="260"/>
              <w:jc w:val="left"/>
            </w:pPr>
            <w:r>
              <w:rPr>
                <w:b/>
                <w:bCs/>
                <w:color w:val="4A2222"/>
                <w:sz w:val="22"/>
                <w:szCs w:val="22"/>
              </w:rPr>
              <w:t xml:space="preserve">Installment 5 — Order, Signs, Powers &amp; Roots</w:t>
            </w:r>
          </w:p>
        </w:tc>
        <w:tc>
          <w:tcPr>
            <w:tcW w:type="dxa" w:w="1200"/>
            <w:shd w:fill="F6F0E2" w:val="clear"/>
            <w:tcMar>
              <w:top w:type="dxa" w:w="80"/>
              <w:left w:type="dxa" w:w="140"/>
              <w:bottom w:type="dxa" w:w="80"/>
              <w:right w:type="dxa" w:w="100"/>
            </w:tcMar>
            <w:vAlign w:val="center"/>
          </w:tcPr>
          <w:p>
            <w:pPr>
              <w:spacing w:after="0" w:line="260"/>
              <w:jc w:val="center"/>
            </w:pPr>
          </w:p>
        </w:tc>
        <w:tc>
          <w:tcPr>
            <w:tcW w:type="dxa" w:w="1200"/>
            <w:shd w:fill="F6F0E2" w:val="clear"/>
            <w:tcMar>
              <w:top w:type="dxa" w:w="80"/>
              <w:left w:type="dxa" w:w="140"/>
              <w:bottom w:type="dxa" w:w="80"/>
              <w:right w:type="dxa" w:w="100"/>
            </w:tcMar>
            <w:vAlign w:val="center"/>
          </w:tcPr>
          <w:p>
            <w:pPr>
              <w:spacing w:after="0" w:line="260"/>
              <w:jc w:val="center"/>
            </w:pPr>
          </w:p>
        </w:tc>
        <w:tc>
          <w:tcPr>
            <w:tcW w:type="dxa" w:w="1200"/>
            <w:shd w:fill="F6F0E2" w:val="clear"/>
            <w:tcMar>
              <w:top w:type="dxa" w:w="80"/>
              <w:left w:type="dxa" w:w="140"/>
              <w:bottom w:type="dxa" w:w="80"/>
              <w:right w:type="dxa" w:w="100"/>
            </w:tcMar>
            <w:vAlign w:val="center"/>
          </w:tcPr>
          <w:p>
            <w:pPr>
              <w:spacing w:after="0" w:line="260"/>
              <w:jc w:val="center"/>
            </w:pPr>
          </w:p>
        </w:tc>
      </w:tr>
      <w:tr>
        <w:tc>
          <w:tcPr>
            <w:tcW w:type="dxa" w:w="5760"/>
            <w:shd w:fill="FFFFFF" w:val="clear"/>
            <w:tcMar>
              <w:top w:type="dxa" w:w="80"/>
              <w:left w:type="dxa" w:w="140"/>
              <w:bottom w:type="dxa" w:w="80"/>
              <w:right w:type="dxa" w:w="100"/>
            </w:tcMar>
            <w:vAlign w:val="center"/>
          </w:tcPr>
          <w:p>
            <w:pPr>
              <w:spacing w:after="0" w:line="260"/>
              <w:jc w:val="left"/>
            </w:pPr>
            <w:r>
              <w:rPr>
                <w:color w:val="2A1410"/>
                <w:sz w:val="22"/>
                <w:szCs w:val="22"/>
              </w:rPr>
              <w:t xml:space="preserve">Lesson 14 · Order of Operations (PEMDAS)</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r>
      <w:tr>
        <w:tc>
          <w:tcPr>
            <w:tcW w:type="dxa" w:w="5760"/>
            <w:shd w:fill="FFFFFF" w:val="clear"/>
            <w:tcMar>
              <w:top w:type="dxa" w:w="80"/>
              <w:left w:type="dxa" w:w="140"/>
              <w:bottom w:type="dxa" w:w="80"/>
              <w:right w:type="dxa" w:w="100"/>
            </w:tcMar>
            <w:vAlign w:val="center"/>
          </w:tcPr>
          <w:p>
            <w:pPr>
              <w:spacing w:after="0" w:line="260"/>
              <w:jc w:val="left"/>
            </w:pPr>
            <w:r>
              <w:rPr>
                <w:color w:val="2A1410"/>
                <w:sz w:val="22"/>
                <w:szCs w:val="22"/>
              </w:rPr>
              <w:t xml:space="preserve">Lesson 15 · Positive &amp; Negative Numbers</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r>
      <w:tr>
        <w:tc>
          <w:tcPr>
            <w:tcW w:type="dxa" w:w="5760"/>
            <w:shd w:fill="FFFFFF" w:val="clear"/>
            <w:tcMar>
              <w:top w:type="dxa" w:w="80"/>
              <w:left w:type="dxa" w:w="140"/>
              <w:bottom w:type="dxa" w:w="80"/>
              <w:right w:type="dxa" w:w="100"/>
            </w:tcMar>
            <w:vAlign w:val="center"/>
          </w:tcPr>
          <w:p>
            <w:pPr>
              <w:spacing w:after="0" w:line="260"/>
              <w:jc w:val="left"/>
            </w:pPr>
            <w:r>
              <w:rPr>
                <w:color w:val="2A1410"/>
                <w:sz w:val="22"/>
                <w:szCs w:val="22"/>
              </w:rPr>
              <w:t xml:space="preserve">Lesson 16 · The Rules of Exponents</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r>
      <w:tr>
        <w:tc>
          <w:tcPr>
            <w:tcW w:type="dxa" w:w="5760"/>
            <w:shd w:fill="FFFFFF" w:val="clear"/>
            <w:tcMar>
              <w:top w:type="dxa" w:w="80"/>
              <w:left w:type="dxa" w:w="140"/>
              <w:bottom w:type="dxa" w:w="80"/>
              <w:right w:type="dxa" w:w="100"/>
            </w:tcMar>
            <w:vAlign w:val="center"/>
          </w:tcPr>
          <w:p>
            <w:pPr>
              <w:spacing w:after="0" w:line="260"/>
              <w:jc w:val="left"/>
            </w:pPr>
            <w:r>
              <w:rPr>
                <w:color w:val="2A1410"/>
                <w:sz w:val="22"/>
                <w:szCs w:val="22"/>
              </w:rPr>
              <w:t xml:space="preserve">Lesson 17 · Square Roots</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r>
      <w:tr>
        <w:tc>
          <w:tcPr>
            <w:tcW w:type="dxa" w:w="5760"/>
            <w:shd w:fill="F6F0E2" w:val="clear"/>
            <w:tcMar>
              <w:top w:type="dxa" w:w="80"/>
              <w:left w:type="dxa" w:w="140"/>
              <w:bottom w:type="dxa" w:w="80"/>
              <w:right w:type="dxa" w:w="100"/>
            </w:tcMar>
            <w:vAlign w:val="center"/>
          </w:tcPr>
          <w:p>
            <w:pPr>
              <w:spacing w:after="0" w:line="260"/>
              <w:jc w:val="left"/>
            </w:pPr>
            <w:r>
              <w:rPr>
                <w:b/>
                <w:bCs/>
                <w:color w:val="4A2222"/>
                <w:sz w:val="22"/>
                <w:szCs w:val="22"/>
              </w:rPr>
              <w:t xml:space="preserve">Installment 6 — Building Blocks &amp; Putting It Together</w:t>
            </w:r>
          </w:p>
        </w:tc>
        <w:tc>
          <w:tcPr>
            <w:tcW w:type="dxa" w:w="1200"/>
            <w:shd w:fill="F6F0E2" w:val="clear"/>
            <w:tcMar>
              <w:top w:type="dxa" w:w="80"/>
              <w:left w:type="dxa" w:w="140"/>
              <w:bottom w:type="dxa" w:w="80"/>
              <w:right w:type="dxa" w:w="100"/>
            </w:tcMar>
            <w:vAlign w:val="center"/>
          </w:tcPr>
          <w:p>
            <w:pPr>
              <w:spacing w:after="0" w:line="260"/>
              <w:jc w:val="center"/>
            </w:pPr>
          </w:p>
        </w:tc>
        <w:tc>
          <w:tcPr>
            <w:tcW w:type="dxa" w:w="1200"/>
            <w:shd w:fill="F6F0E2" w:val="clear"/>
            <w:tcMar>
              <w:top w:type="dxa" w:w="80"/>
              <w:left w:type="dxa" w:w="140"/>
              <w:bottom w:type="dxa" w:w="80"/>
              <w:right w:type="dxa" w:w="100"/>
            </w:tcMar>
            <w:vAlign w:val="center"/>
          </w:tcPr>
          <w:p>
            <w:pPr>
              <w:spacing w:after="0" w:line="260"/>
              <w:jc w:val="center"/>
            </w:pPr>
          </w:p>
        </w:tc>
        <w:tc>
          <w:tcPr>
            <w:tcW w:type="dxa" w:w="1200"/>
            <w:shd w:fill="F6F0E2" w:val="clear"/>
            <w:tcMar>
              <w:top w:type="dxa" w:w="80"/>
              <w:left w:type="dxa" w:w="140"/>
              <w:bottom w:type="dxa" w:w="80"/>
              <w:right w:type="dxa" w:w="100"/>
            </w:tcMar>
            <w:vAlign w:val="center"/>
          </w:tcPr>
          <w:p>
            <w:pPr>
              <w:spacing w:after="0" w:line="260"/>
              <w:jc w:val="center"/>
            </w:pPr>
          </w:p>
        </w:tc>
      </w:tr>
      <w:tr>
        <w:tc>
          <w:tcPr>
            <w:tcW w:type="dxa" w:w="5760"/>
            <w:shd w:fill="FFFFFF" w:val="clear"/>
            <w:tcMar>
              <w:top w:type="dxa" w:w="80"/>
              <w:left w:type="dxa" w:w="140"/>
              <w:bottom w:type="dxa" w:w="80"/>
              <w:right w:type="dxa" w:w="100"/>
            </w:tcMar>
            <w:vAlign w:val="center"/>
          </w:tcPr>
          <w:p>
            <w:pPr>
              <w:spacing w:after="0" w:line="260"/>
              <w:jc w:val="left"/>
            </w:pPr>
            <w:r>
              <w:rPr>
                <w:color w:val="2A1410"/>
                <w:sz w:val="22"/>
                <w:szCs w:val="22"/>
              </w:rPr>
              <w:t xml:space="preserve">Lesson 18 · Factors, Multiples, GCF &amp; LCM</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r>
      <w:tr>
        <w:tc>
          <w:tcPr>
            <w:tcW w:type="dxa" w:w="5760"/>
            <w:shd w:fill="FFFFFF" w:val="clear"/>
            <w:tcMar>
              <w:top w:type="dxa" w:w="80"/>
              <w:left w:type="dxa" w:w="140"/>
              <w:bottom w:type="dxa" w:w="80"/>
              <w:right w:type="dxa" w:w="100"/>
            </w:tcMar>
            <w:vAlign w:val="center"/>
          </w:tcPr>
          <w:p>
            <w:pPr>
              <w:spacing w:after="0" w:line="260"/>
              <w:jc w:val="left"/>
            </w:pPr>
            <w:r>
              <w:rPr>
                <w:color w:val="2A1410"/>
                <w:sz w:val="22"/>
                <w:szCs w:val="22"/>
              </w:rPr>
              <w:t xml:space="preserve">Lesson 19 · Putting It Together (mixed review)</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c>
          <w:tcPr>
            <w:tcW w:type="dxa" w:w="1200"/>
            <w:shd w:fill="FFFFFF" w:val="clear"/>
            <w:tcMar>
              <w:top w:type="dxa" w:w="80"/>
              <w:left w:type="dxa" w:w="140"/>
              <w:bottom w:type="dxa" w:w="80"/>
              <w:right w:type="dxa" w:w="100"/>
            </w:tcMar>
            <w:vAlign w:val="center"/>
          </w:tcPr>
          <w:p>
            <w:pPr>
              <w:spacing w:after="0" w:line="260"/>
              <w:jc w:val="center"/>
            </w:pPr>
            <w:r>
              <w:rPr>
                <w:color w:val="2A1410"/>
                <w:sz w:val="22"/>
                <w:szCs w:val="22"/>
              </w:rPr>
              <w:t xml:space="preserve">☐</w:t>
            </w:r>
          </w:p>
        </w:tc>
      </w:tr>
    </w:tbl>
    <w:p>
      <w:pPr>
        <w:spacing w:after="240" w:line="200"/>
      </w:pPr>
    </w:p>
    <w:p>
      <w:pPr>
        <w:spacing w:after="170" w:before="0" w:line="330"/>
      </w:pPr>
      <w:r>
        <w:rPr>
          <w:i/>
          <w:iCs/>
          <w:color w:val="5C2C2C"/>
          <w:sz w:val="22"/>
          <w:szCs w:val="22"/>
        </w:rPr>
        <w:t xml:space="preserve">All six installments — all nineteen lessons and the Interlude — are ready now. Take them in any order that serves you.</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6" w:space="6"/>
      </w:pBdr>
      <w:tabs>
        <w:tab w:val="right" w:pos="9360"/>
      </w:tabs>
      <w:spacing w:after="0" w:before="60" w:line="240"/>
    </w:pPr>
    <w:r>
      <w:rPr>
        <w:color w:val="5C2C2C"/>
        <w:sz w:val="18"/>
        <w:szCs w:val="18"/>
      </w:rPr>
      <w:t xml:space="preserve">The People's Share  ·  thepeoplesshare.org  ·  2026</w:t>
    </w:r>
    <w:r>
      <w:rPr>
        <w:sz w:val="18"/>
        <w:szCs w:val="18"/>
      </w:rPr>
      <w:t xml:space="preserve">	</w:t>
    </w:r>
    <w:r>
      <w:rPr>
        <w:color w:val="5C2C2C"/>
        <w:sz w:val="18"/>
        <w:szCs w:val="18"/>
      </w:rPr>
      <w:t xml:space="preserve">Page </w:t>
    </w:r>
    <w:r>
      <w:rPr>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5"/>
        <w:szCs w:val="25"/>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2026-07-06T17:20:12.447Z</dcterms:created>
  <dcterms:modified xsi:type="dcterms:W3CDTF">2026-07-06T17:20:12.447Z</dcterms:modified>
</cp:coreProperties>
</file>

<file path=docProps/custom.xml><?xml version="1.0" encoding="utf-8"?>
<Properties xmlns="http://schemas.openxmlformats.org/officeDocument/2006/custom-properties" xmlns:vt="http://schemas.openxmlformats.org/officeDocument/2006/docPropsVTypes"/>
</file>