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 w:before="400" w:line="340"/>
        <w:jc w:val="center"/>
      </w:pPr>
      <w:r>
        <w:rPr>
          <w:b/>
          <w:bCs/>
          <w:color w:val="4A2222"/>
          <w:sz w:val="52"/>
          <w:szCs w:val="52"/>
        </w:rPr>
        <w:t xml:space="preserve">The GED Math Foundations Roadmap</w:t>
      </w:r>
    </w:p>
    <w:p>
      <w:pPr>
        <w:spacing w:after="110" w:before="0" w:line="330"/>
        <w:jc w:val="center"/>
      </w:pPr>
      <w:r>
        <w:rPr>
          <w:i/>
          <w:iCs/>
          <w:color w:val="5C2C2C"/>
          <w:sz w:val="30"/>
          <w:szCs w:val="30"/>
        </w:rPr>
        <w:t xml:space="preserve">Your Summer Self-Study Course</w:t>
      </w:r>
    </w:p>
    <w:p>
      <w:pPr>
        <w:spacing w:after="300" w:before="0" w:line="330"/>
        <w:jc w:val="center"/>
      </w:pPr>
      <w:r>
        <w:rPr>
          <w:color w:val="5C2C2C"/>
          <w:sz w:val="24"/>
          <w:szCs w:val="24"/>
        </w:rPr>
        <w:t xml:space="preserve">One course  ·  eight files  ·  nineteen lessons (plus one short interlude)</w:t>
      </w:r>
    </w:p>
    <w:p>
      <w:pPr>
        <w:spacing w:after="170" w:before="0" w:line="330"/>
      </w:pPr>
      <w:r>
        <w:t xml:space="preserve">Welcome to your summer math. This is </w:t>
      </w:r>
      <w:r>
        <w:rPr>
          <w:b/>
          <w:bCs/>
        </w:rPr>
        <w:t xml:space="preserve">one course spread across a few files.</w:t>
      </w:r>
      <w:r>
        <w:t xml:space="preserve">  You don't have to go in order, and you don't have to do all of it — every lesson stands on its own and explains itself, so you can open any topic at any time and follow it from start to finish.</w:t>
      </w:r>
    </w:p>
    <w:p>
      <w:pPr>
        <w:spacing w:after="240" w:before="0" w:line="330"/>
      </w:pPr>
      <w:r>
        <w:t xml:space="preserve">Not sure where to begin? Open the </w:t>
      </w:r>
      <w:r>
        <w:rPr>
          <w:b/>
          <w:bCs/>
        </w:rPr>
        <w:t xml:space="preserve">Orientation</w:t>
      </w:r>
      <w:r>
        <w:t xml:space="preserve"> first. It shows you how the whole thing works and gives you a tracker to mark your progress. After that, pick whatever you want to work on from the list below.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3400"/>
        <w:gridCol w:w="5960"/>
      </w:tblGrid>
      <w:tr>
        <w:tc>
          <w:tcPr>
            <w:tcW w:type="dxa" w:w="3400"/>
            <w:shd w:fill="F6F0E2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Orientation</w:t>
            </w:r>
          </w:p>
        </w:tc>
        <w:tc>
          <w:tcPr>
            <w:tcW w:type="dxa" w:w="5960"/>
            <w:shd w:fill="F6F0E2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b/>
                <w:bCs/>
                <w:color w:val="2A1410"/>
                <w:sz w:val="22"/>
                <w:szCs w:val="22"/>
              </w:rPr>
              <w:t xml:space="preserve">Start here.</w:t>
            </w:r>
            <w:r>
              <w:rPr>
                <w:color w:val="2A1410"/>
                <w:sz w:val="22"/>
                <w:szCs w:val="22"/>
              </w:rPr>
              <w:t xml:space="preserve">  How to use this guide, the full Roadmap, what to do when you get stuck, and your master Progress Tracker.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1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First Lessons · Lessons 1–4 + Interlude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Place value · rounding &amp; estimation · fractions: the big picture · equivalent fractions — plus a short interlude on the VIPs of math, zero &amp; one.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2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Working With Fractions · Lessons 5–7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Comparing &amp; simplifying · adding &amp; subtracting · multiplying &amp; dividing fractions.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3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Decimals &amp; Conversions · Lessons 8–10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Decimal basics · operating with decimals · fractions ↔ decimals ↔ percents.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4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Percentages, Ratios &amp; Proportions · Lessons 11–13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Percentages · ratios · proportions (cross-multiplying to solve).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5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Order, Signs, Powers &amp; Roots · Lessons 14–17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Order of operations (PEMDAS) · positive &amp; negative numbers · the nine rules of exponents · square roots.</w:t>
            </w:r>
          </w:p>
        </w:tc>
      </w:tr>
      <w:tr>
        <w:tc>
          <w:tcPr>
            <w:tcW w:type="dxa" w:w="3400"/>
            <w:shd w:fill="FFFDF6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40" w:line="280"/>
            </w:pPr>
            <w:r>
              <w:rPr>
                <w:b/>
                <w:bCs/>
                <w:color w:val="4A2222"/>
                <w:sz w:val="22"/>
                <w:szCs w:val="22"/>
              </w:rPr>
              <w:t xml:space="preserve">Installment 6</w:t>
            </w:r>
          </w:p>
          <w:p>
            <w:pPr>
              <w:spacing w:after="0" w:line="280"/>
            </w:pPr>
            <w:r>
              <w:rPr>
                <w:i/>
                <w:iCs/>
                <w:color w:val="2A1410"/>
                <w:sz w:val="22"/>
                <w:szCs w:val="22"/>
              </w:rPr>
              <w:t xml:space="preserve">Building Blocks &amp; Putting It Together · Lessons 18–19</w:t>
            </w:r>
          </w:p>
        </w:tc>
        <w:tc>
          <w:tcPr>
            <w:tcW w:type="dxa" w:w="5960"/>
            <w:shd w:fill="FFFFFF" w:val="clear"/>
            <w:tcMar>
              <w:top w:type="dxa" w:w="110"/>
              <w:left w:type="dxa" w:w="150"/>
              <w:bottom w:type="dxa" w:w="110"/>
              <w:right w:type="dxa" w:w="120"/>
            </w:tcMar>
            <w:vAlign w:val="center"/>
          </w:tcPr>
          <w:p>
            <w:pPr>
              <w:spacing w:after="0" w:line="280"/>
            </w:pPr>
            <w:r>
              <w:rPr>
                <w:color w:val="2A1410"/>
                <w:sz w:val="22"/>
                <w:szCs w:val="22"/>
              </w:rPr>
              <w:t xml:space="preserve">Factors, multiples, GCF &amp; LCM · a mixed review of the whole roadmap — ending with the Gauntlet: one question from every lesson.</w:t>
            </w:r>
          </w:p>
        </w:tc>
      </w:tr>
    </w:tbl>
    <w:p>
      <w:pPr>
        <w:spacing w:after="28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170" w:before="0" w:line="330"/>
      </w:pPr>
      <w:r>
        <w:rPr>
          <w:b/>
          <w:bCs/>
        </w:rPr>
        <w:t xml:space="preserve">Reading on your phone?</w:t>
      </w:r>
      <w:r>
        <w:t xml:space="preserve">  Every file also comes as a PDF — same content, and it always looks right on a phone screen. And if you were given the link to the course web page, you can check lessons off there as you finish them; the page remembers your progress every time you come back.</w:t>
      </w:r>
    </w:p>
    <w:p>
      <w:pPr>
        <w:spacing w:after="170" w:before="0" w:line="330"/>
      </w:pPr>
      <w:r>
        <w:t xml:space="preserve">Nineteen lessons in all — from place value to powers and roots, the heart of the GED math test. Go at your own pace, check your thinking against the answer keys (they explain the </w:t>
      </w:r>
      <w:r>
        <w:rPr>
          <w:i/>
          <w:iCs/>
        </w:rPr>
        <w:t xml:space="preserve">why</w:t>
      </w:r>
      <w:r>
        <w:t xml:space="preserve">, not just the answer), and reach out when you need to. See you soon!</w:t>
      </w:r>
    </w:p>
    <w:p>
      <w:pPr>
        <w:spacing w:after="120" w:before="0" w:line="330"/>
      </w:pPr>
      <w:r>
        <w:rPr>
          <w:b/>
          <w:bCs/>
        </w:rPr>
        <w:t xml:space="preserve">— Myles  ·  xamyxamu@hotmail.com  ·  845-464-7343</w:t>
      </w:r>
    </w:p>
    <w:p>
      <w:pPr>
        <w:spacing w:after="170" w:before="0" w:line="330"/>
      </w:pPr>
      <w:r>
        <w:rPr>
          <w:i/>
          <w:iCs/>
          <w:color w:val="5C2C2C"/>
          <w:sz w:val="21"/>
          <w:szCs w:val="21"/>
        </w:rPr>
        <w:t xml:space="preserve">Myles &amp; Claude  ·  The People's Share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2026-07-06T17:20:12.259Z</dcterms:created>
  <dcterms:modified xsi:type="dcterms:W3CDTF">2026-07-06T17:20:12.259Z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