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Enlightenment and the Great Awakening</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2 (1607–1754) · Step 18 of 19 · a bridge reading · about 9 minutes</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170" w:before="90" w:line="292"/>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playlist has no video for the two movements that furnished the Revolution’s vocabulary. Before the final video asks how “American” the colonists had become, meet the ideas that were quietly making deference to kings — and to every inherited authority — feel optional.</w:t>
      </w:r>
    </w:p>
    <w:p>
      <w:pPr>
        <w:pBdr>
          <w:bottom w:val="single" w:color="C08552" w:sz="4" w:space="4"/>
        </w:pBdr>
        <w:spacing w:after="140" w:before="300"/>
      </w:pPr>
      <w:r>
        <w:rPr>
          <w:rFonts w:ascii="Georgia" w:cs="Georgia" w:eastAsia="Georgia" w:hAnsi="Georgia"/>
          <w:b/>
          <w:bCs/>
          <w:color w:val="4A2222"/>
          <w:sz w:val="29"/>
          <w:szCs w:val="29"/>
        </w:rPr>
        <w:t xml:space="preserve">The Enlightenment: Authority Must Show Its Work</w:t>
      </w:r>
    </w:p>
    <w:p>
      <w:pPr>
        <w:spacing w:after="160" w:line="288"/>
      </w:pPr>
      <w:r>
        <w:rPr>
          <w:rFonts w:ascii="Georgia" w:cs="Georgia" w:eastAsia="Georgia" w:hAnsi="Georgia"/>
          <w:color w:val="2A1410"/>
          <w:sz w:val="24"/>
          <w:szCs w:val="24"/>
        </w:rPr>
        <w:t xml:space="preserve">Across the 1600s and 1700s, European thinkers proposed something radical: truth comes not from thrones or pulpits but from </w:t>
      </w:r>
      <w:r>
        <w:rPr>
          <w:rFonts w:ascii="Georgia" w:cs="Georgia" w:eastAsia="Georgia" w:hAnsi="Georgia"/>
          <w:b/>
          <w:bCs/>
          <w:color w:val="2A1410"/>
          <w:sz w:val="24"/>
          <w:szCs w:val="24"/>
        </w:rPr>
        <w:t xml:space="preserve">reason and evidence</w:t>
      </w:r>
      <w:r>
        <w:rPr>
          <w:rFonts w:ascii="Georgia" w:cs="Georgia" w:eastAsia="Georgia" w:hAnsi="Georgia"/>
          <w:color w:val="2A1410"/>
          <w:sz w:val="24"/>
          <w:szCs w:val="24"/>
        </w:rPr>
        <w:t xml:space="preserve"> — and institutions, governments included, must justify themselves at reason’s bar. The thinker who matters most for this course is </w:t>
      </w:r>
      <w:r>
        <w:rPr>
          <w:rFonts w:ascii="Georgia" w:cs="Georgia" w:eastAsia="Georgia" w:hAnsi="Georgia"/>
          <w:b/>
          <w:bCs/>
          <w:color w:val="2A1410"/>
          <w:sz w:val="24"/>
          <w:szCs w:val="24"/>
        </w:rPr>
        <w:t xml:space="preserve">John Locke</w:t>
      </w:r>
      <w:r>
        <w:rPr>
          <w:rFonts w:ascii="Georgia" w:cs="Georgia" w:eastAsia="Georgia" w:hAnsi="Georgia"/>
          <w:color w:val="2A1410"/>
          <w:sz w:val="24"/>
          <w:szCs w:val="24"/>
        </w:rPr>
        <w:t xml:space="preserve">: people possess </w:t>
      </w:r>
      <w:r>
        <w:rPr>
          <w:rFonts w:ascii="Georgia" w:cs="Georgia" w:eastAsia="Georgia" w:hAnsi="Georgia"/>
          <w:i/>
          <w:iCs/>
          <w:color w:val="2A1410"/>
          <w:sz w:val="24"/>
          <w:szCs w:val="24"/>
        </w:rPr>
        <w:t xml:space="preserve">natural rights</w:t>
      </w:r>
      <w:r>
        <w:rPr>
          <w:rFonts w:ascii="Georgia" w:cs="Georgia" w:eastAsia="Georgia" w:hAnsi="Georgia"/>
          <w:color w:val="2A1410"/>
          <w:sz w:val="24"/>
          <w:szCs w:val="24"/>
        </w:rPr>
        <w:t xml:space="preserve"> — life, liberty, property — that exist before any government; governments are created by </w:t>
      </w:r>
      <w:r>
        <w:rPr>
          <w:rFonts w:ascii="Georgia" w:cs="Georgia" w:eastAsia="Georgia" w:hAnsi="Georgia"/>
          <w:i/>
          <w:iCs/>
          <w:color w:val="2A1410"/>
          <w:sz w:val="24"/>
          <w:szCs w:val="24"/>
        </w:rPr>
        <w:t xml:space="preserve">consent</w:t>
      </w:r>
      <w:r>
        <w:rPr>
          <w:rFonts w:ascii="Georgia" w:cs="Georgia" w:eastAsia="Georgia" w:hAnsi="Georgia"/>
          <w:color w:val="2A1410"/>
          <w:sz w:val="24"/>
          <w:szCs w:val="24"/>
        </w:rPr>
        <w:t xml:space="preserve"> to protect those rights; and a government that betrays the bargain may rightly be replaced.</w:t>
      </w:r>
    </w:p>
    <w:p>
      <w:pPr>
        <w:spacing w:after="160" w:line="288"/>
      </w:pPr>
      <w:r>
        <w:rPr>
          <w:rFonts w:ascii="Georgia" w:cs="Georgia" w:eastAsia="Georgia" w:hAnsi="Georgia"/>
          <w:color w:val="2A1410"/>
          <w:sz w:val="24"/>
          <w:szCs w:val="24"/>
        </w:rPr>
        <w:t xml:space="preserve">Read Locke’s formula once more, slowly, and you can hear the Declaration of Independence clearing its throat — “endowed … with certain unalienable Rights,” “consent of the governed.” When you reach Movement Two’s close reading, you’ll recognize Jefferson’s sentences as Locke, set to music. Colonial America’s own Enlightenment celebrity was </w:t>
      </w:r>
      <w:r>
        <w:rPr>
          <w:rFonts w:ascii="Georgia" w:cs="Georgia" w:eastAsia="Georgia" w:hAnsi="Georgia"/>
          <w:b/>
          <w:bCs/>
          <w:color w:val="2A1410"/>
          <w:sz w:val="24"/>
          <w:szCs w:val="24"/>
        </w:rPr>
        <w:t xml:space="preserve">Benjamin Franklin</w:t>
      </w:r>
      <w:r>
        <w:rPr>
          <w:rFonts w:ascii="Georgia" w:cs="Georgia" w:eastAsia="Georgia" w:hAnsi="Georgia"/>
          <w:color w:val="2A1410"/>
          <w:sz w:val="24"/>
          <w:szCs w:val="24"/>
        </w:rPr>
        <w:t xml:space="preserve"> — printer, scientist, postmaster — proof to both sides of the Atlantic that a tradesman’s son could out-think the gentry. That, too, was a quietly revolutionary fact.</w:t>
      </w:r>
    </w:p>
    <w:p>
      <w:pPr>
        <w:pBdr>
          <w:bottom w:val="single" w:color="C08552" w:sz="4" w:space="4"/>
        </w:pBdr>
        <w:spacing w:after="140" w:before="300"/>
      </w:pPr>
      <w:r>
        <w:rPr>
          <w:rFonts w:ascii="Georgia" w:cs="Georgia" w:eastAsia="Georgia" w:hAnsi="Georgia"/>
          <w:b/>
          <w:bCs/>
          <w:color w:val="4A2222"/>
          <w:sz w:val="29"/>
          <w:szCs w:val="29"/>
        </w:rPr>
        <w:t xml:space="preserve">The Great Awakening: Equality Before God, Felt in the Body</w:t>
      </w:r>
    </w:p>
    <w:p>
      <w:pPr>
        <w:spacing w:after="160" w:line="288"/>
      </w:pPr>
      <w:r>
        <w:rPr>
          <w:rFonts w:ascii="Georgia" w:cs="Georgia" w:eastAsia="Georgia" w:hAnsi="Georgia"/>
          <w:color w:val="2A1410"/>
          <w:sz w:val="24"/>
          <w:szCs w:val="24"/>
        </w:rPr>
        <w:t xml:space="preserve">Beginning in the 1730s and 40s, a wave of revival swept the colonies — vast outdoor crowds, weeping and converted, drawn by itinerant preachers like </w:t>
      </w:r>
      <w:r>
        <w:rPr>
          <w:rFonts w:ascii="Georgia" w:cs="Georgia" w:eastAsia="Georgia" w:hAnsi="Georgia"/>
          <w:b/>
          <w:bCs/>
          <w:color w:val="2A1410"/>
          <w:sz w:val="24"/>
          <w:szCs w:val="24"/>
        </w:rPr>
        <w:t xml:space="preserve">George Whitefield</w:t>
      </w:r>
      <w:r>
        <w:rPr>
          <w:rFonts w:ascii="Georgia" w:cs="Georgia" w:eastAsia="Georgia" w:hAnsi="Georgia"/>
          <w:color w:val="2A1410"/>
          <w:sz w:val="24"/>
          <w:szCs w:val="24"/>
        </w:rPr>
        <w:t xml:space="preserve">, whose voice could reach thousands and whose tours made him arguably the first celebrity all thirteen colonies shared. The theology of preachers like Jonathan Edwards was fierce, but the social effect was the explosive part: the revival taught that salvation was between the individual soul and God — no learned minister required, no established church holding the keys.</w:t>
      </w:r>
    </w:p>
    <w:p>
      <w:pPr>
        <w:spacing w:after="160" w:line="288"/>
      </w:pPr>
      <w:r>
        <w:rPr>
          <w:rFonts w:ascii="Georgia" w:cs="Georgia" w:eastAsia="Georgia" w:hAnsi="Georgia"/>
          <w:color w:val="2A1410"/>
          <w:sz w:val="24"/>
          <w:szCs w:val="24"/>
        </w:rPr>
        <w:t xml:space="preserve">Congregations split into “New Lights” and “Old Lights”; upstart churches — Baptists, later Methodists — multiplied; ordinary people, including women, the poor, and both enslaved and free Black colonists, claimed spiritual standing no hierarchy had granted them. The Awakening reached hearts the Enlightenment’s books never touched, and delivered a rhyming lesson: </w:t>
      </w:r>
      <w:r>
        <w:rPr>
          <w:rFonts w:ascii="Georgia" w:cs="Georgia" w:eastAsia="Georgia" w:hAnsi="Georgia"/>
          <w:b/>
          <w:bCs/>
          <w:color w:val="2A1410"/>
          <w:sz w:val="24"/>
          <w:szCs w:val="24"/>
        </w:rPr>
        <w:t xml:space="preserve">authority does not descend from above; it answers to something in you</w:t>
      </w:r>
      <w:r>
        <w:rPr>
          <w:rFonts w:ascii="Georgia" w:cs="Georgia" w:eastAsia="Georgia" w:hAnsi="Georgia"/>
          <w:color w:val="2A1410"/>
          <w:sz w:val="24"/>
          <w:szCs w:val="24"/>
        </w:rPr>
        <w:t xml:space="preserve">.</w:t>
      </w:r>
    </w:p>
    <w:p>
      <w:pPr>
        <w:pBdr>
          <w:bottom w:val="single" w:color="C08552" w:sz="4" w:space="4"/>
        </w:pBdr>
        <w:spacing w:after="140" w:before="300"/>
      </w:pPr>
      <w:r>
        <w:rPr>
          <w:rFonts w:ascii="Georgia" w:cs="Georgia" w:eastAsia="Georgia" w:hAnsi="Georgia"/>
          <w:b/>
          <w:bCs/>
          <w:color w:val="4A2222"/>
          <w:sz w:val="29"/>
          <w:szCs w:val="29"/>
        </w:rPr>
        <w:t xml:space="preserve">Two Movements, One Solvent</w:t>
      </w:r>
    </w:p>
    <w:p>
      <w:pPr>
        <w:spacing w:after="160" w:line="288"/>
      </w:pPr>
      <w:r>
        <w:rPr>
          <w:rFonts w:ascii="Georgia" w:cs="Georgia" w:eastAsia="Georgia" w:hAnsi="Georgia"/>
          <w:color w:val="2A1410"/>
          <w:sz w:val="24"/>
          <w:szCs w:val="24"/>
        </w:rPr>
        <w:t xml:space="preserve">Reason and revival look like opposites — the lecture hall and the camp meeting — and they often despised each other. But aim them at a king and they dissolve the same glue. The Enlightenment said: institutions must earn obedience by argument. The Awakening said: no bishop or crown stands between you and the highest authority there is. A generation marinated in both will find “the divine right of kings” not wicked so much as </w:t>
      </w:r>
      <w:r>
        <w:rPr>
          <w:rFonts w:ascii="Georgia" w:cs="Georgia" w:eastAsia="Georgia" w:hAnsi="Georgia"/>
          <w:i/>
          <w:iCs/>
          <w:color w:val="2A1410"/>
          <w:sz w:val="24"/>
          <w:szCs w:val="24"/>
        </w:rPr>
        <w:t xml:space="preserve">absurd</w:t>
      </w:r>
      <w:r>
        <w:rPr>
          <w:rFonts w:ascii="Georgia" w:cs="Georgia" w:eastAsia="Georgia" w:hAnsi="Georgia"/>
          <w:color w:val="2A1410"/>
          <w:sz w:val="24"/>
          <w:szCs w:val="24"/>
        </w:rPr>
        <w:t xml:space="preserve">. Add the consumer revolution binding the colonies into one market of shared goods, newspapers, and tea, and the colonists were acquiring — without anyone planning it — a common vocabulary, a common confidence, and a common question: by what right are we ruled?</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Locke said rights come before government and government rules by consent. What follows, logically, when consent is withdrawn? Trace the syllogism the colonists will trace.</w:t>
      </w:r>
    </w:p>
    <w:p>
      <w:pPr>
        <w:pStyle w:val="ListParagraph"/>
        <w:numPr>
          <w:ilvl w:val="0"/>
          <w:numId w:val="2"/>
        </w:numPr>
        <w:spacing w:after="130" w:line="288"/>
      </w:pPr>
      <w:r>
        <w:rPr>
          <w:rFonts w:ascii="Georgia" w:cs="Georgia" w:eastAsia="Georgia" w:hAnsi="Georgia"/>
          <w:color w:val="2A1410"/>
          <w:sz w:val="24"/>
          <w:szCs w:val="24"/>
        </w:rPr>
        <w:t xml:space="preserve">The Awakening let people bypass religious gatekeepers. Why do challenges to one kind of authority so often spill into others?</w:t>
      </w:r>
    </w:p>
    <w:p>
      <w:pPr>
        <w:pStyle w:val="ListParagraph"/>
        <w:numPr>
          <w:ilvl w:val="0"/>
          <w:numId w:val="2"/>
        </w:numPr>
        <w:spacing w:after="130" w:line="288"/>
      </w:pPr>
      <w:r>
        <w:rPr>
          <w:rFonts w:ascii="Georgia" w:cs="Georgia" w:eastAsia="Georgia" w:hAnsi="Georgia"/>
          <w:color w:val="2A1410"/>
          <w:sz w:val="24"/>
          <w:szCs w:val="24"/>
        </w:rPr>
        <w:t xml:space="preserve">Reason and revival despised each other yet corroded the same throne. What present-day movements that oppose each other might be dissolving the same glue?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Movement Two’s close reading of the Declaration is Locke fulfilled; carry “consent of the governed” there and watch it detonate.</w:t>
      </w:r>
    </w:p>
    <w:p>
      <w:pPr>
        <w:pStyle w:val="ListParagraph"/>
        <w:numPr>
          <w:ilvl w:val="0"/>
          <w:numId w:val="2"/>
        </w:numPr>
        <w:spacing w:after="130" w:line="288"/>
      </w:pPr>
      <w:r>
        <w:rPr>
          <w:rFonts w:ascii="Georgia" w:cs="Georgia" w:eastAsia="Georgia" w:hAnsi="Georgia"/>
          <w:b/>
          <w:bCs/>
          <w:color w:val="2A1410"/>
          <w:sz w:val="24"/>
          <w:szCs w:val="24"/>
        </w:rPr>
        <w:t xml:space="preserve">Next:  </w:t>
      </w:r>
      <w:r>
        <w:rPr>
          <w:rFonts w:ascii="Georgia" w:cs="Georgia" w:eastAsia="Georgia" w:hAnsi="Georgia"/>
          <w:color w:val="2A1410"/>
          <w:sz w:val="24"/>
          <w:szCs w:val="24"/>
        </w:rPr>
        <w:t xml:space="preserve">the final video of Period 2 — adding it all up: how British were the Americans?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2026-06-11T11:52:25.888Z</dcterms:created>
  <dcterms:modified xsi:type="dcterms:W3CDTF">2026-06-11T11:52:25.888Z</dcterms:modified>
</cp:coreProperties>
</file>

<file path=docProps/custom.xml><?xml version="1.0" encoding="utf-8"?>
<Properties xmlns="http://schemas.openxmlformats.org/officeDocument/2006/custom-properties" xmlns:vt="http://schemas.openxmlformats.org/officeDocument/2006/docPropsVTypes"/>
</file>