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320"/>
        <w:jc w:val="center"/>
      </w:pPr>
      <w:r>
        <w:rPr>
          <w:rFonts w:ascii="Georgia" w:cs="Georgia" w:eastAsia="Georgia" w:hAnsi="Georgia"/>
          <w:b/>
          <w:bCs/>
          <w:color w:val="4A2222"/>
          <w:sz w:val="40"/>
          <w:szCs w:val="40"/>
        </w:rPr>
        <w:t xml:space="preserve">Bacon’s Rebellion</w:t>
      </w:r>
    </w:p>
    <w:p>
      <w:pPr>
        <w:spacing w:after="60"/>
        <w:jc w:val="center"/>
      </w:pPr>
      <w:r>
        <w:rPr>
          <w:rFonts w:ascii="Georgia" w:cs="Georgia" w:eastAsia="Georgia" w:hAnsi="Georgia"/>
          <w:i/>
          <w:iCs/>
          <w:color w:val="C08552"/>
          <w:sz w:val="26"/>
          <w:szCs w:val="26"/>
        </w:rPr>
        <w:t xml:space="preserve">The Annotated Khan Course · Track B</w:t>
      </w:r>
    </w:p>
    <w:p>
      <w:pPr>
        <w:spacing w:after="220"/>
        <w:jc w:val="center"/>
      </w:pPr>
      <w:r>
        <w:rPr>
          <w:rFonts w:ascii="Georgia" w:cs="Georgia" w:eastAsia="Georgia" w:hAnsi="Georgia"/>
          <w:color w:val="5C2C2C"/>
          <w:sz w:val="19"/>
          <w:szCs w:val="19"/>
        </w:rPr>
        <w:t xml:space="preserve">U.S. History · Period 2 (1607–1754) · Step 10 of 18 · about 12½ minutes — the pivotal video of this period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How to Read This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This is a companion, not a replacement. Watch the actual video on Khan Academy, keep this page open beside it, and pause at each timecode to read the note. Nothing here is graded.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What This Video Does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Why did Virginia switch from white indentured labor to permanent African slavery around 1700? Khan’s answer runs through 1676: a rebellion of landless men — white and Black together — that burned the capital and taught the planter class a lesson it never forgot.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In the Margins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~3:50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House of Burgesses — democracy, planter-owned.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1619 again: the first semi-democratic assembly in the New World is born the same year the first slave ship lands. Hold the two 1619s together. And note who fills the Burgesses’ seats — tobacco planters. Self-government and planter rule arrive as one package.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~5:30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Tobacco eats soil; the colony eats land.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Tobacco exhausts fields fast, so planters push endlessly west — into Native nations’ territory. Land scarcity isn’t natural here; it’s manufactured by a crop, a headright system, and promises owed to freed servants that planters would rather not pay.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~7:00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tinder: freed, landless, and angry.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By the 1670s servants are surviving their indentures — and finding the promised land withheld, wages tiny, the frontier closed by the governor’s peace policy. Khan’s wry law of history: a colony full of unemployed, angry young men “gets up to trouble.” Watch where their anger gets aimed: not up at the planters first, but west at Native people.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~8:45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Underline this: the militia was biracial.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Bacon’s force was landless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white and African American men together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— raiding Native villages, then turning on the government itself and burning Jamestown. For the planters, the racial alliance was the true nightmare: the poor of both colors discovering a common enemy. Keep this image; everything that follows is designed to make it impossible to repeat.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~11:30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lesson the planters drew.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Bacon dies; the rebellion fades; the fear remains. Khan reconstructs the planters’ reasoning with chilling clarity: freed servants accumulate as rebels, so switch to “a different source of labor,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one that will never get its freedom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.” Permanent, hereditary, race-defined slavery is adopted — in real part — as rebellion insurance. Race is built as a wedge between natural allies.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~12:10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Say the conclusion plainly.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American racial slavery was not an inevitability that drifted in. It was a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choice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, made by a frightened ruling class, to divide the people beneath them. That sentence is the hinge of this whole period — and the reason a poor white farmer would one day fight a war to defend a system that kept him poor.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After You Watch — Questions to Sit With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Poor whites and Blacks rebelled together in 1676 — and the response was a legal system to separate them forever. What does that tell you about whom racial division serves?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Bacon’s men aimed their rage at Native people before the government. Why do the angry so often strike sideways or down instead of up?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If hereditary slavery was a choice made for a reason, what does that do to the idea that racism is natural or eternal?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An Invitation to Write</w:t>
      </w:r>
    </w:p>
    <w:p>
      <w:pPr>
        <w:pBdr>
          <w:left w:val="single" w:color="6E7E66" w:sz="20" w:space="18"/>
        </w:pBdr>
        <w:spacing w:after="160" w:before="90" w:line="300"/>
        <w:ind w:left="360" w:right="140"/>
      </w:pPr>
      <w:r>
        <w:rPr>
          <w:rFonts w:ascii="Georgia" w:cs="Georgia" w:eastAsia="Georgia" w:hAnsi="Georgia"/>
          <w:b/>
          <w:bCs/>
          <w:i/>
          <w:iCs/>
          <w:color w:val="5C2C2C"/>
          <w:sz w:val="24"/>
          <w:szCs w:val="24"/>
        </w:rPr>
        <w:t xml:space="preserve">The wedge.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Using Bacon’s Rebellion, argue that race in America was constructed — built deliberately as a wedge after 1676. Then trace the wedge forward: where do you see “divide the people who share an interest” operating today?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Where This Connects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Back to Track A: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this is the origin story behind Movements Four and Five — the system the Civil War destroys and Reconstruction tries to repair begins as policy here.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Next: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north to New England — a colony founded on God instead of gold, with its own shadows.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20"/>
      <w:jc w:val="center"/>
    </w:pPr>
    <w:hyperlink r:id="rIdHubReturn" w:history="1">
      <w:r>
        <w:rPr>
          <w:rFonts w:ascii="Georgia" w:cs="Georgia" w:eastAsia="Georgia" w:hAnsi="Georgia"/>
          <w:color w:val="4A2222"/>
          <w:sz w:val="18"/>
          <w:szCs w:val="18"/>
          <w:u w:val="single"/>
        </w:rPr>
        <w:t xml:space="preserve">↩  Return to the Hub</w:t>
      </w:r>
    </w:hyperlink>
  </w:p>
  <w:p>
    <w:pPr>
      <w:pBdr>
        <w:top w:val="single" w:color="C08552" w:sz="4" w:space="6"/>
      </w:pBdr>
      <w:tabs>
        <w:tab w:val="right" w:pos="9360"/>
      </w:tabs>
    </w:pPr>
    <w:r>
      <w:rPr>
        <w:rFonts w:ascii="Georgia" w:cs="Georgia" w:eastAsia="Georgia" w:hAnsi="Georgia"/>
        <w:color w:val="5C2C2C"/>
        <w:sz w:val="18"/>
        <w:szCs w:val="18"/>
      </w:rPr>
      <w:t xml:space="preserve">The People’s Share  ·  thepeoplesshare.org  ·  2026</w:t>
    </w:r>
    <w:r>
      <w:rPr>
        <w:sz w:val="18"/>
        <w:szCs w:val="18"/>
      </w:rPr>
      <w:t xml:space="preserve">	</w:t>
    </w:r>
    <w:r>
      <w:rPr>
        <w:rFonts w:ascii="Georgia" w:cs="Georgia" w:eastAsia="Georgia" w:hAnsi="Georgia"/>
        <w:color w:val="5C2C2C"/>
        <w:sz w:val="18"/>
        <w:szCs w:val="18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460" w:hanging="280"/>
      </w:pPr>
      <w:rPr>
        <w:color w:val="C08552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2A1410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HubReturn" Type="http://schemas.openxmlformats.org/officeDocument/2006/relationships/hyperlink" Target="https://thepeoplesshare.org/summer/summer-track-b.html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2026-06-11T11:52:25.863Z</dcterms:created>
  <dcterms:modified xsi:type="dcterms:W3CDTF">2026-06-11T11:52:25.863Z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