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Developing an American Colonial Identity</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2 (1607–1754) · Step 19 of 19 · about 8 minutes — the period finale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summing-up video: across politics, culture, and economics, Khan runs a single ledger — what bound the thirteen colonies to Britain, and what was quietly pulling them loose? The honest answer is “both at once,” which is why 1754 finds them loyal, restless, and one shock away from a question they haven’t yet dared to ask.</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~0:45  ·  </w:t>
      </w:r>
      <w:r>
        <w:rPr>
          <w:rFonts w:ascii="Georgia" w:cs="Georgia" w:eastAsia="Georgia" w:hAnsi="Georgia"/>
          <w:b/>
          <w:bCs/>
          <w:color w:val="5C2C2C"/>
          <w:sz w:val="23"/>
          <w:szCs w:val="23"/>
        </w:rPr>
        <w:t xml:space="preserve">Benign neglect: freedom by accident.  </w:t>
      </w:r>
      <w:r>
        <w:rPr>
          <w:rFonts w:ascii="Georgia" w:cs="Georgia" w:eastAsia="Georgia" w:hAnsi="Georgia"/>
          <w:color w:val="2A1410"/>
          <w:sz w:val="24"/>
          <w:szCs w:val="24"/>
        </w:rPr>
        <w:t xml:space="preserve">England’s civil wars and revolutions kept it too busy to govern its colonies closely, so they governed themselves — and came to regard self-rule not as a privilege but as normal. A century and a half of being left alone is a habit; habits, threatened, become principles. Remember this when Britain starts paying attention.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~1:20  ·  </w:t>
      </w:r>
      <w:r>
        <w:rPr>
          <w:rFonts w:ascii="Georgia" w:cs="Georgia" w:eastAsia="Georgia" w:hAnsi="Georgia"/>
          <w:b/>
          <w:bCs/>
          <w:color w:val="5C2C2C"/>
          <w:sz w:val="23"/>
          <w:szCs w:val="23"/>
        </w:rPr>
        <w:t xml:space="preserve">They thought of themselves as English.  </w:t>
      </w:r>
      <w:r>
        <w:rPr>
          <w:rFonts w:ascii="Georgia" w:cs="Georgia" w:eastAsia="Georgia" w:hAnsi="Georgia"/>
          <w:color w:val="2A1410"/>
          <w:sz w:val="24"/>
          <w:szCs w:val="24"/>
        </w:rPr>
        <w:t xml:space="preserve">Don’t let hindsight cheat you: into the 1770s most colonists were proud Britons — same books, language, tea, enemies. The Revolution will be made by people who felt their </w:t>
      </w:r>
      <w:r>
        <w:rPr>
          <w:rFonts w:ascii="Georgia" w:cs="Georgia" w:eastAsia="Georgia" w:hAnsi="Georgia"/>
          <w:i/>
          <w:iCs/>
          <w:color w:val="2A1410"/>
          <w:sz w:val="24"/>
          <w:szCs w:val="24"/>
        </w:rPr>
        <w:t xml:space="preserve">English rights</w:t>
      </w:r>
      <w:r>
        <w:rPr>
          <w:rFonts w:ascii="Georgia" w:cs="Georgia" w:eastAsia="Georgia" w:hAnsi="Georgia"/>
          <w:color w:val="2A1410"/>
          <w:sz w:val="24"/>
          <w:szCs w:val="24"/>
        </w:rPr>
        <w:t xml:space="preserve"> were violated, not by people who started out wanting a new nation. Revolutions often begin as demands to honor the old bargain.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The ledger method — steal it.  </w:t>
      </w:r>
      <w:r>
        <w:rPr>
          <w:rFonts w:ascii="Georgia" w:cs="Georgia" w:eastAsia="Georgia" w:hAnsi="Georgia"/>
          <w:color w:val="2A1410"/>
          <w:sz w:val="24"/>
          <w:szCs w:val="24"/>
        </w:rPr>
        <w:t xml:space="preserve">Khan sorts every exchange into unites / divides / both: shared rights-culture (unites) vs. interference with assemblies (divides); shared wars (both — pride in the empire, fury at being disrespected by it). This both-at-once accounting is how grown-up history works. Use it on any relationship, national or personal, that’s heading for a break.</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~4:50  ·  </w:t>
      </w:r>
      <w:r>
        <w:rPr>
          <w:rFonts w:ascii="Georgia" w:cs="Georgia" w:eastAsia="Georgia" w:hAnsi="Georgia"/>
          <w:b/>
          <w:bCs/>
          <w:color w:val="5C2C2C"/>
          <w:sz w:val="23"/>
          <w:szCs w:val="23"/>
        </w:rPr>
        <w:t xml:space="preserve">The grimmest entry: slavery as glue.  </w:t>
      </w:r>
      <w:r>
        <w:rPr>
          <w:rFonts w:ascii="Georgia" w:cs="Georgia" w:eastAsia="Georgia" w:hAnsi="Georgia"/>
          <w:color w:val="2A1410"/>
          <w:sz w:val="24"/>
          <w:szCs w:val="24"/>
        </w:rPr>
        <w:t xml:space="preserve">Khan files slavery under what </w:t>
      </w:r>
      <w:r>
        <w:rPr>
          <w:rFonts w:ascii="Georgia" w:cs="Georgia" w:eastAsia="Georgia" w:hAnsi="Georgia"/>
          <w:b/>
          <w:bCs/>
          <w:color w:val="2A1410"/>
          <w:sz w:val="24"/>
          <w:szCs w:val="24"/>
        </w:rPr>
        <w:t xml:space="preserve">united</w:t>
      </w:r>
      <w:r>
        <w:rPr>
          <w:rFonts w:ascii="Georgia" w:cs="Georgia" w:eastAsia="Georgia" w:hAnsi="Georgia"/>
          <w:color w:val="2A1410"/>
          <w:sz w:val="24"/>
          <w:szCs w:val="24"/>
        </w:rPr>
        <w:t xml:space="preserve"> the colonies with the empire — shared dependence on enslaved labor, shared profits, “central to the united economic prosperity of the British Empire.” Let the irony land fully: among the strongest bonds of the British Atlantic world was the bondage of Africans. The freest political culture on earth and the largest slave system were one economy.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~5:54  ·  </w:t>
      </w:r>
      <w:r>
        <w:rPr>
          <w:rFonts w:ascii="Georgia" w:cs="Georgia" w:eastAsia="Georgia" w:hAnsi="Georgia"/>
          <w:b/>
          <w:bCs/>
          <w:color w:val="5C2C2C"/>
          <w:sz w:val="23"/>
          <w:szCs w:val="23"/>
        </w:rPr>
        <w:t xml:space="preserve">Mercantilism and the smuggler’s creed.  </w:t>
      </w:r>
      <w:r>
        <w:rPr>
          <w:rFonts w:ascii="Georgia" w:cs="Georgia" w:eastAsia="Georgia" w:hAnsi="Georgia"/>
          <w:color w:val="2A1410"/>
          <w:sz w:val="24"/>
          <w:szCs w:val="24"/>
        </w:rPr>
        <w:t xml:space="preserve">The Navigation Acts make the bridge-reading point official: rarely enforced, routinely evaded, they taught colonists that trade restriction was illegitimate and free trade nearly a birthright. Laws that exist but don’t bind breed contempt for law’s author — an empire-sized lesson Britain will learn too late.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~7:00  ·  </w:t>
      </w:r>
      <w:r>
        <w:rPr>
          <w:rFonts w:ascii="Georgia" w:cs="Georgia" w:eastAsia="Georgia" w:hAnsi="Georgia"/>
          <w:b/>
          <w:bCs/>
          <w:color w:val="5C2C2C"/>
          <w:sz w:val="23"/>
          <w:szCs w:val="23"/>
        </w:rPr>
        <w:t xml:space="preserve">The fence-sitting finale.  </w:t>
      </w:r>
      <w:r>
        <w:rPr>
          <w:rFonts w:ascii="Georgia" w:cs="Georgia" w:eastAsia="Georgia" w:hAnsi="Georgia"/>
          <w:color w:val="2A1410"/>
          <w:sz w:val="24"/>
          <w:szCs w:val="24"/>
        </w:rPr>
        <w:t xml:space="preserve">Khan ends Period 2 on a deliberate cliffhanger: the colonists in 1754 are balanced between loyalty and grievance, and he asks what could change. Hold the question — Period 3 answers it with a war, a debt, and a king who finally starts enforcing the rules. The fence won’t survive the decade.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colonists rebelled, eventually, to defend rights they claimed as Englishmen. What does it mean that revolutions so often begin as conservative complaints?</w:t>
      </w:r>
    </w:p>
    <w:p>
      <w:pPr>
        <w:pStyle w:val="ListParagraph"/>
        <w:numPr>
          <w:ilvl w:val="0"/>
          <w:numId w:val="2"/>
        </w:numPr>
        <w:spacing w:after="130" w:line="288"/>
      </w:pPr>
      <w:r>
        <w:rPr>
          <w:rFonts w:ascii="Georgia" w:cs="Georgia" w:eastAsia="Georgia" w:hAnsi="Georgia"/>
          <w:color w:val="2A1410"/>
          <w:sz w:val="24"/>
          <w:szCs w:val="24"/>
        </w:rPr>
        <w:t xml:space="preserve">Slavery bound the colonies to the empire even as liberty-talk grew. How did colonists hold both — and how do societies hold such contradictions now?</w:t>
      </w:r>
    </w:p>
    <w:p>
      <w:pPr>
        <w:pStyle w:val="ListParagraph"/>
        <w:numPr>
          <w:ilvl w:val="0"/>
          <w:numId w:val="2"/>
        </w:numPr>
        <w:spacing w:after="130" w:line="288"/>
      </w:pPr>
      <w:r>
        <w:rPr>
          <w:rFonts w:ascii="Georgia" w:cs="Georgia" w:eastAsia="Georgia" w:hAnsi="Georgia"/>
          <w:color w:val="2A1410"/>
          <w:sz w:val="24"/>
          <w:szCs w:val="24"/>
        </w:rPr>
        <w:t xml:space="preserve">Apply Khan’s ledger to something in your own life or community that’s under strain: what unites, what divides, what does both?</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ledger.  </w:t>
      </w:r>
      <w:r>
        <w:rPr>
          <w:rFonts w:ascii="Georgia" w:cs="Georgia" w:eastAsia="Georgia" w:hAnsi="Georgia"/>
          <w:color w:val="2A1410"/>
          <w:sz w:val="24"/>
          <w:szCs w:val="24"/>
        </w:rPr>
        <w:t xml:space="preserve">Run Khan’s unites/divides ledger on Period 2 yourself — politics, culture, economics — and then make your call: in 1754, was an eventual break with Britain likely, or did it still require the shocks to come? Defend your answer with at least three ledger entries.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this fence-sitting moment is the doorstep of Movement Two — the Revolution and the problem of power.</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Period 3 (1754–1800) — the war that wins an empire and loses thirteen colonies.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2026-06-11T11:52:25.895Z</dcterms:created>
  <dcterms:modified xsi:type="dcterms:W3CDTF">2026-06-11T11:52:25.895Z</dcterms:modified>
</cp:coreProperties>
</file>

<file path=docProps/custom.xml><?xml version="1.0" encoding="utf-8"?>
<Properties xmlns="http://schemas.openxmlformats.org/officeDocument/2006/custom-properties" xmlns:vt="http://schemas.openxmlformats.org/officeDocument/2006/docPropsVTypes"/>
</file>