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60" w:before="320"/>
        <w:jc w:val="center"/>
      </w:pPr>
      <w:r>
        <w:rPr>
          <w:rFonts w:ascii="Georgia" w:cs="Georgia" w:eastAsia="Georgia" w:hAnsi="Georgia"/>
          <w:b/>
          <w:bCs/>
          <w:color w:val="4A2222"/>
          <w:sz w:val="40"/>
          <w:szCs w:val="40"/>
        </w:rPr>
        <w:t xml:space="preserve">The Seven Years’ War, Part 1</w:t>
      </w:r>
    </w:p>
    <w:p>
      <w:pPr>
        <w:spacing w:after="60"/>
        <w:jc w:val="center"/>
      </w:pPr>
      <w:r>
        <w:rPr>
          <w:rFonts w:ascii="Georgia" w:cs="Georgia" w:eastAsia="Georgia" w:hAnsi="Georgia"/>
          <w:i/>
          <w:iCs/>
          <w:color w:val="C08552"/>
          <w:sz w:val="26"/>
          <w:szCs w:val="26"/>
        </w:rPr>
        <w:t xml:space="preserve">The Annotated Khan Course · Track B</w:t>
      </w:r>
    </w:p>
    <w:p>
      <w:pPr>
        <w:spacing w:after="220"/>
        <w:jc w:val="center"/>
      </w:pPr>
      <w:r>
        <w:rPr>
          <w:rFonts w:ascii="Georgia" w:cs="Georgia" w:eastAsia="Georgia" w:hAnsi="Georgia"/>
          <w:color w:val="5C2C2C"/>
          <w:sz w:val="19"/>
          <w:szCs w:val="19"/>
        </w:rPr>
        <w:t xml:space="preserve">U.S. History · Period 3 (1754–1800) · Step 1 of 15 · about 12½ minutes</w:t>
      </w:r>
    </w:p>
    <w:p>
      <w:pPr>
        <w:pBdr>
          <w:bottom w:val="single" w:color="C08552" w:sz="8" w:space="1"/>
        </w:pBdr>
        <w:spacing w:after="200" w:before="60"/>
      </w:pPr>
      <w:r>
        <w:rPr>
          <w:rFonts w:ascii="Georgia" w:cs="Georgia" w:eastAsia="Georgia" w:hAnsi="Georgia"/>
          <w:color w:val="2A1410"/>
          <w:sz w:val="24"/>
          <w:szCs w:val="24"/>
        </w:rPr>
        <w:t xml:space="preserve"/>
      </w:r>
    </w:p>
    <w:p>
      <w:pPr>
        <w:pBdr>
          <w:bottom w:val="single" w:color="C08552" w:sz="4" w:space="4"/>
        </w:pBdr>
        <w:spacing w:after="140" w:before="300"/>
      </w:pPr>
      <w:r>
        <w:rPr>
          <w:rFonts w:ascii="Georgia" w:cs="Georgia" w:eastAsia="Georgia" w:hAnsi="Georgia"/>
          <w:b/>
          <w:bCs/>
          <w:color w:val="4A2222"/>
          <w:sz w:val="29"/>
          <w:szCs w:val="29"/>
        </w:rPr>
        <w:t xml:space="preserve">How to Read This</w:t>
      </w:r>
    </w:p>
    <w:p>
      <w:pPr>
        <w:spacing w:after="160" w:line="288"/>
      </w:pPr>
      <w:r>
        <w:rPr>
          <w:rFonts w:ascii="Georgia" w:cs="Georgia" w:eastAsia="Georgia" w:hAnsi="Georgia"/>
          <w:color w:val="2A1410"/>
          <w:sz w:val="24"/>
          <w:szCs w:val="24"/>
        </w:rPr>
        <w:t xml:space="preserve">This is a companion, not a replacement. Watch the actual video on Khan Academy, keep this page open beside it, and pause at each timecode to read the note. Nothing here is graded.</w:t>
      </w:r>
    </w:p>
    <w:p>
      <w:pPr>
        <w:pBdr>
          <w:bottom w:val="single" w:color="C08552" w:sz="4" w:space="4"/>
        </w:pBdr>
        <w:spacing w:after="140" w:before="300"/>
      </w:pPr>
      <w:r>
        <w:rPr>
          <w:rFonts w:ascii="Georgia" w:cs="Georgia" w:eastAsia="Georgia" w:hAnsi="Georgia"/>
          <w:b/>
          <w:bCs/>
          <w:color w:val="4A2222"/>
          <w:sz w:val="29"/>
          <w:szCs w:val="29"/>
        </w:rPr>
        <w:t xml:space="preserve">What This Video Does</w:t>
      </w:r>
    </w:p>
    <w:p>
      <w:pPr>
        <w:spacing w:after="160" w:line="288"/>
      </w:pPr>
      <w:r>
        <w:rPr>
          <w:rFonts w:ascii="Georgia" w:cs="Georgia" w:eastAsia="Georgia" w:hAnsi="Georgia"/>
          <w:color w:val="2A1410"/>
          <w:sz w:val="24"/>
          <w:szCs w:val="24"/>
        </w:rPr>
        <w:t xml:space="preserve">Before the Revolution there was a bigger war — the first truly global one — that made Britain the supreme empire on earth and planted every seed of the rebellion to come. Part 1 sets the board: who wanted what in North America, and why “the French and Indian War” is a misleading name.</w:t>
      </w:r>
    </w:p>
    <w:p>
      <w:pPr>
        <w:pBdr>
          <w:bottom w:val="single" w:color="C08552" w:sz="4" w:space="4"/>
        </w:pBdr>
        <w:spacing w:after="140" w:before="300"/>
      </w:pPr>
      <w:r>
        <w:rPr>
          <w:rFonts w:ascii="Georgia" w:cs="Georgia" w:eastAsia="Georgia" w:hAnsi="Georgia"/>
          <w:b/>
          <w:bCs/>
          <w:color w:val="4A2222"/>
          <w:sz w:val="29"/>
          <w:szCs w:val="29"/>
        </w:rPr>
        <w:t xml:space="preserve">In the Margins</w:t>
      </w:r>
    </w:p>
    <w:p>
      <w:pPr>
        <w:pBdr>
          <w:left w:val="single" w:color="C08552" w:sz="20" w:space="18"/>
        </w:pBdr>
        <w:shd w:fill="F6F0E2" w:val="clear"/>
        <w:spacing w:after="150" w:before="90" w:line="288"/>
        <w:ind w:left="360" w:right="140"/>
      </w:pPr>
      <w:r>
        <w:rPr>
          <w:rFonts w:ascii="Georgia" w:cs="Georgia" w:eastAsia="Georgia" w:hAnsi="Georgia"/>
          <w:b/>
          <w:bCs/>
          <w:color w:val="4A2222"/>
          <w:sz w:val="23"/>
          <w:szCs w:val="23"/>
        </w:rPr>
        <w:t xml:space="preserve">~0:30  ·  </w:t>
      </w:r>
      <w:r>
        <w:rPr>
          <w:rFonts w:ascii="Georgia" w:cs="Georgia" w:eastAsia="Georgia" w:hAnsi="Georgia"/>
          <w:b/>
          <w:bCs/>
          <w:color w:val="5C2C2C"/>
          <w:sz w:val="23"/>
          <w:szCs w:val="23"/>
        </w:rPr>
        <w:t xml:space="preserve">The war you weren’t taught caused the one you were.  </w:t>
      </w:r>
      <w:r>
        <w:rPr>
          <w:rFonts w:ascii="Georgia" w:cs="Georgia" w:eastAsia="Georgia" w:hAnsi="Georgia"/>
          <w:color w:val="2A1410"/>
          <w:sz w:val="24"/>
          <w:szCs w:val="24"/>
        </w:rPr>
        <w:t xml:space="preserve">Khan’s thesis up front: the Seven Years’ War reshaped the world and made the Revolution possible. Hold the causal chain he’s about to build — debt, a boundary line, colonial confidence — because it ends at Lexington.</w:t>
      </w:r>
    </w:p>
    <w:p>
      <w:pPr>
        <w:pBdr>
          <w:left w:val="single" w:color="C08552" w:sz="20" w:space="18"/>
        </w:pBdr>
        <w:shd w:fill="F6F0E2" w:val="clear"/>
        <w:spacing w:after="150" w:before="90" w:line="288"/>
        <w:ind w:left="360" w:right="140"/>
      </w:pPr>
      <w:r>
        <w:rPr>
          <w:rFonts w:ascii="Georgia" w:cs="Georgia" w:eastAsia="Georgia" w:hAnsi="Georgia"/>
          <w:b/>
          <w:bCs/>
          <w:color w:val="4A2222"/>
          <w:sz w:val="23"/>
          <w:szCs w:val="23"/>
        </w:rPr>
        <w:t xml:space="preserve">~1:30  ·  </w:t>
      </w:r>
      <w:r>
        <w:rPr>
          <w:rFonts w:ascii="Georgia" w:cs="Georgia" w:eastAsia="Georgia" w:hAnsi="Georgia"/>
          <w:b/>
          <w:bCs/>
          <w:color w:val="5C2C2C"/>
          <w:sz w:val="23"/>
          <w:szCs w:val="23"/>
        </w:rPr>
        <w:t xml:space="preserve">One war, a dozen names — because it was everywhere.  </w:t>
      </w:r>
      <w:r>
        <w:rPr>
          <w:rFonts w:ascii="Georgia" w:cs="Georgia" w:eastAsia="Georgia" w:hAnsi="Georgia"/>
          <w:color w:val="2A1410"/>
          <w:sz w:val="24"/>
          <w:szCs w:val="24"/>
        </w:rPr>
        <w:t xml:space="preserve">Fought on five continents 150 years before World War I. “French and Indian War” is just the North American front. Naming a global war after one of its theaters is itself a lesson: whoever tells the story names it from where they’re standing.</w:t>
      </w:r>
    </w:p>
    <w:p>
      <w:pPr>
        <w:pBdr>
          <w:left w:val="single" w:color="C08552" w:sz="20" w:space="18"/>
        </w:pBdr>
        <w:shd w:fill="F6F0E2" w:val="clear"/>
        <w:spacing w:after="150" w:before="90" w:line="288"/>
        <w:ind w:left="360" w:right="140"/>
      </w:pPr>
      <w:r>
        <w:rPr>
          <w:rFonts w:ascii="Georgia" w:cs="Georgia" w:eastAsia="Georgia" w:hAnsi="Georgia"/>
          <w:b/>
          <w:bCs/>
          <w:color w:val="4A2222"/>
          <w:sz w:val="23"/>
          <w:szCs w:val="23"/>
        </w:rPr>
        <w:t xml:space="preserve">~3:30  ·  </w:t>
      </w:r>
      <w:r>
        <w:rPr>
          <w:rFonts w:ascii="Georgia" w:cs="Georgia" w:eastAsia="Georgia" w:hAnsi="Georgia"/>
          <w:b/>
          <w:bCs/>
          <w:color w:val="5C2C2C"/>
          <w:sz w:val="23"/>
          <w:szCs w:val="23"/>
        </w:rPr>
        <w:t xml:space="preserve">The name corrected.  </w:t>
      </w:r>
      <w:r>
        <w:rPr>
          <w:rFonts w:ascii="Georgia" w:cs="Georgia" w:eastAsia="Georgia" w:hAnsi="Georgia"/>
          <w:color w:val="2A1410"/>
          <w:sz w:val="24"/>
          <w:szCs w:val="24"/>
        </w:rPr>
        <w:t xml:space="preserve">It wasn’t the English against “the French and Indians.” Native nations fought on </w:t>
      </w:r>
      <w:r>
        <w:rPr>
          <w:rFonts w:ascii="Georgia" w:cs="Georgia" w:eastAsia="Georgia" w:hAnsi="Georgia"/>
          <w:b/>
          <w:bCs/>
          <w:color w:val="2A1410"/>
          <w:sz w:val="24"/>
          <w:szCs w:val="24"/>
        </w:rPr>
        <w:t xml:space="preserve">both</w:t>
      </w:r>
      <w:r>
        <w:rPr>
          <w:rFonts w:ascii="Georgia" w:cs="Georgia" w:eastAsia="Georgia" w:hAnsi="Georgia"/>
          <w:color w:val="2A1410"/>
          <w:sz w:val="24"/>
          <w:szCs w:val="24"/>
        </w:rPr>
        <w:t xml:space="preserve"> sides — Iroquois and Cherokee with Britain, most others with France. The label flattens dozens of nations into one enemy. Watch how a name quietly does ideological work.</w:t>
      </w:r>
    </w:p>
    <w:p>
      <w:pPr>
        <w:pBdr>
          <w:left w:val="single" w:color="C08552" w:sz="20" w:space="18"/>
        </w:pBdr>
        <w:shd w:fill="F6F0E2" w:val="clear"/>
        <w:spacing w:after="150" w:before="90" w:line="288"/>
        <w:ind w:left="360" w:right="140"/>
      </w:pPr>
      <w:r>
        <w:rPr>
          <w:rFonts w:ascii="Georgia" w:cs="Georgia" w:eastAsia="Georgia" w:hAnsi="Georgia"/>
          <w:b/>
          <w:bCs/>
          <w:color w:val="4A2222"/>
          <w:sz w:val="23"/>
          <w:szCs w:val="23"/>
        </w:rPr>
        <w:t xml:space="preserve">~6:30  ·  </w:t>
      </w:r>
      <w:r>
        <w:rPr>
          <w:rFonts w:ascii="Georgia" w:cs="Georgia" w:eastAsia="Georgia" w:hAnsi="Georgia"/>
          <w:b/>
          <w:bCs/>
          <w:color w:val="5C2C2C"/>
          <w:sz w:val="23"/>
          <w:szCs w:val="23"/>
        </w:rPr>
        <w:t xml:space="preserve">The map’s great silence.  </w:t>
      </w:r>
      <w:r>
        <w:rPr>
          <w:rFonts w:ascii="Georgia" w:cs="Georgia" w:eastAsia="Georgia" w:hAnsi="Georgia"/>
          <w:color w:val="2A1410"/>
          <w:sz w:val="24"/>
          <w:szCs w:val="24"/>
        </w:rPr>
        <w:t xml:space="preserve">The map shows England, France, Spain — but Khan notes most of the interior was Indian country, where Native powers “held the majority of power.” A map of European claims is a map of European wishes. Keep that gap in view whenever you see a colonial map.</w:t>
      </w:r>
    </w:p>
    <w:p>
      <w:pPr>
        <w:pBdr>
          <w:left w:val="single" w:color="C08552" w:sz="20" w:space="18"/>
        </w:pBdr>
        <w:shd w:fill="F6F0E2" w:val="clear"/>
        <w:spacing w:after="150" w:before="90" w:line="288"/>
        <w:ind w:left="360" w:right="140"/>
      </w:pPr>
      <w:r>
        <w:rPr>
          <w:rFonts w:ascii="Georgia" w:cs="Georgia" w:eastAsia="Georgia" w:hAnsi="Georgia"/>
          <w:b/>
          <w:bCs/>
          <w:color w:val="4A2222"/>
          <w:sz w:val="23"/>
          <w:szCs w:val="23"/>
        </w:rPr>
        <w:t xml:space="preserve">~8:00  ·  </w:t>
      </w:r>
      <w:r>
        <w:rPr>
          <w:rFonts w:ascii="Georgia" w:cs="Georgia" w:eastAsia="Georgia" w:hAnsi="Georgia"/>
          <w:b/>
          <w:bCs/>
          <w:color w:val="5C2C2C"/>
          <w:sz w:val="23"/>
          <w:szCs w:val="23"/>
        </w:rPr>
        <w:t xml:space="preserve">The sugar bombshell.  </w:t>
      </w:r>
      <w:r>
        <w:rPr>
          <w:rFonts w:ascii="Georgia" w:cs="Georgia" w:eastAsia="Georgia" w:hAnsi="Georgia"/>
          <w:color w:val="2A1410"/>
          <w:sz w:val="24"/>
          <w:szCs w:val="24"/>
        </w:rPr>
        <w:t xml:space="preserve">Stop here: a single small sugar island was worth more to a European power than the </w:t>
      </w:r>
      <w:r>
        <w:rPr>
          <w:rFonts w:ascii="Georgia" w:cs="Georgia" w:eastAsia="Georgia" w:hAnsi="Georgia"/>
          <w:b/>
          <w:bCs/>
          <w:color w:val="2A1410"/>
          <w:sz w:val="24"/>
          <w:szCs w:val="24"/>
        </w:rPr>
        <w:t xml:space="preserve">entire interior of North America</w:t>
      </w:r>
      <w:r>
        <w:rPr>
          <w:rFonts w:ascii="Georgia" w:cs="Georgia" w:eastAsia="Georgia" w:hAnsi="Georgia"/>
          <w:color w:val="2A1410"/>
          <w:sz w:val="24"/>
          <w:szCs w:val="24"/>
        </w:rPr>
        <w:t xml:space="preserve">. The continent we now call priceless was the cheap part. Value is historical, not natural — tie it to the West Indies bridge back in Period 2.</w:t>
      </w:r>
    </w:p>
    <w:p>
      <w:pPr>
        <w:pBdr>
          <w:left w:val="single" w:color="C08552" w:sz="20" w:space="18"/>
        </w:pBdr>
        <w:shd w:fill="F6F0E2" w:val="clear"/>
        <w:spacing w:after="150" w:before="90" w:line="288"/>
        <w:ind w:left="360" w:right="140"/>
      </w:pPr>
      <w:r>
        <w:rPr>
          <w:rFonts w:ascii="Georgia" w:cs="Georgia" w:eastAsia="Georgia" w:hAnsi="Georgia"/>
          <w:b/>
          <w:bCs/>
          <w:color w:val="4A2222"/>
          <w:sz w:val="23"/>
          <w:szCs w:val="23"/>
        </w:rPr>
        <w:t xml:space="preserve">~9:30  ·  </w:t>
      </w:r>
      <w:r>
        <w:rPr>
          <w:rFonts w:ascii="Georgia" w:cs="Georgia" w:eastAsia="Georgia" w:hAnsi="Georgia"/>
          <w:b/>
          <w:bCs/>
          <w:color w:val="5C2C2C"/>
          <w:sz w:val="23"/>
          <w:szCs w:val="23"/>
        </w:rPr>
        <w:t xml:space="preserve">Kill the myth of Native unity.  </w:t>
      </w:r>
      <w:r>
        <w:rPr>
          <w:rFonts w:ascii="Georgia" w:cs="Georgia" w:eastAsia="Georgia" w:hAnsi="Georgia"/>
          <w:color w:val="2A1410"/>
          <w:sz w:val="24"/>
          <w:szCs w:val="24"/>
        </w:rPr>
        <w:t xml:space="preserve">Native nations had ancient rivalries and saw Europeans as tools against older enemies — not as one racial threat to unite against. Khan flags this as the number-one student misconception. The “race consciousness” people imagine was present at the start is actually </w:t>
      </w:r>
      <w:r>
        <w:rPr>
          <w:rFonts w:ascii="Georgia" w:cs="Georgia" w:eastAsia="Georgia" w:hAnsi="Georgia"/>
          <w:i/>
          <w:iCs/>
          <w:color w:val="2A1410"/>
          <w:sz w:val="24"/>
          <w:szCs w:val="24"/>
        </w:rPr>
        <w:t xml:space="preserve">forged later</w:t>
      </w:r>
      <w:r>
        <w:rPr>
          <w:rFonts w:ascii="Georgia" w:cs="Georgia" w:eastAsia="Georgia" w:hAnsi="Georgia"/>
          <w:color w:val="2A1410"/>
          <w:sz w:val="24"/>
          <w:szCs w:val="24"/>
        </w:rPr>
        <w:t xml:space="preserve">, by the very pressures this war unleashes.</w:t>
      </w:r>
    </w:p>
    <w:p>
      <w:pPr>
        <w:pBdr>
          <w:bottom w:val="single" w:color="C08552" w:sz="8" w:space="1"/>
        </w:pBdr>
        <w:spacing w:after="200" w:before="60"/>
      </w:pPr>
      <w:r>
        <w:rPr>
          <w:rFonts w:ascii="Georgia" w:cs="Georgia" w:eastAsia="Georgia" w:hAnsi="Georgia"/>
          <w:color w:val="2A1410"/>
          <w:sz w:val="24"/>
          <w:szCs w:val="24"/>
        </w:rPr>
        <w:t xml:space="preserve"/>
      </w:r>
    </w:p>
    <w:p>
      <w:pPr>
        <w:pBdr>
          <w:bottom w:val="single" w:color="C08552" w:sz="4" w:space="4"/>
        </w:pBdr>
        <w:spacing w:after="140" w:before="300"/>
      </w:pPr>
      <w:r>
        <w:rPr>
          <w:rFonts w:ascii="Georgia" w:cs="Georgia" w:eastAsia="Georgia" w:hAnsi="Georgia"/>
          <w:b/>
          <w:bCs/>
          <w:color w:val="4A2222"/>
          <w:sz w:val="29"/>
          <w:szCs w:val="29"/>
        </w:rPr>
        <w:t xml:space="preserve">After You Watch — Questions to Sit With</w:t>
      </w:r>
    </w:p>
    <w:p>
      <w:pPr>
        <w:pStyle w:val="ListParagraph"/>
        <w:numPr>
          <w:ilvl w:val="0"/>
          <w:numId w:val="2"/>
        </w:numPr>
        <w:spacing w:after="130" w:line="288"/>
      </w:pPr>
      <w:r>
        <w:rPr>
          <w:rFonts w:ascii="Georgia" w:cs="Georgia" w:eastAsia="Georgia" w:hAnsi="Georgia"/>
          <w:color w:val="2A1410"/>
          <w:sz w:val="24"/>
          <w:szCs w:val="24"/>
        </w:rPr>
        <w:t xml:space="preserve">A name like “French and Indian War” hides that Native nations fought on both sides. What other historical names do the same quiet work?</w:t>
      </w:r>
    </w:p>
    <w:p>
      <w:pPr>
        <w:pStyle w:val="ListParagraph"/>
        <w:numPr>
          <w:ilvl w:val="0"/>
          <w:numId w:val="2"/>
        </w:numPr>
        <w:spacing w:after="130" w:line="288"/>
      </w:pPr>
      <w:r>
        <w:rPr>
          <w:rFonts w:ascii="Georgia" w:cs="Georgia" w:eastAsia="Georgia" w:hAnsi="Georgia"/>
          <w:color w:val="2A1410"/>
          <w:sz w:val="24"/>
          <w:szCs w:val="24"/>
        </w:rPr>
        <w:t xml:space="preserve">A sugar island outvalued a continent. What does that reveal about how “value” gets decided — then and now?</w:t>
      </w:r>
    </w:p>
    <w:p>
      <w:pPr>
        <w:pStyle w:val="ListParagraph"/>
        <w:numPr>
          <w:ilvl w:val="0"/>
          <w:numId w:val="2"/>
        </w:numPr>
        <w:spacing w:after="130" w:line="288"/>
      </w:pPr>
      <w:r>
        <w:rPr>
          <w:rFonts w:ascii="Georgia" w:cs="Georgia" w:eastAsia="Georgia" w:hAnsi="Georgia"/>
          <w:color w:val="2A1410"/>
          <w:sz w:val="24"/>
          <w:szCs w:val="24"/>
        </w:rPr>
        <w:t xml:space="preserve">Khan calls Native unity the #1 misconception. Why is the “all Natives versus all whites” story appealing, and whom does it mislead?</w:t>
      </w:r>
    </w:p>
    <w:p>
      <w:pPr>
        <w:pBdr>
          <w:bottom w:val="single" w:color="C08552" w:sz="4" w:space="4"/>
        </w:pBdr>
        <w:spacing w:after="140" w:before="300"/>
      </w:pPr>
      <w:r>
        <w:rPr>
          <w:rFonts w:ascii="Georgia" w:cs="Georgia" w:eastAsia="Georgia" w:hAnsi="Georgia"/>
          <w:b/>
          <w:bCs/>
          <w:color w:val="4A2222"/>
          <w:sz w:val="29"/>
          <w:szCs w:val="29"/>
        </w:rPr>
        <w:t xml:space="preserve">An Invitation to Write</w:t>
      </w:r>
    </w:p>
    <w:p>
      <w:pPr>
        <w:pBdr>
          <w:left w:val="single" w:color="6E7E66" w:sz="20" w:space="18"/>
        </w:pBdr>
        <w:spacing w:after="160" w:before="90" w:line="300"/>
        <w:ind w:left="360" w:right="140"/>
      </w:pPr>
      <w:r>
        <w:rPr>
          <w:rFonts w:ascii="Georgia" w:cs="Georgia" w:eastAsia="Georgia" w:hAnsi="Georgia"/>
          <w:b/>
          <w:bCs/>
          <w:i/>
          <w:iCs/>
          <w:color w:val="5C2C2C"/>
          <w:sz w:val="24"/>
          <w:szCs w:val="24"/>
        </w:rPr>
        <w:t xml:space="preserve">The map’s silence.  </w:t>
      </w:r>
      <w:r>
        <w:rPr>
          <w:rFonts w:ascii="Georgia" w:cs="Georgia" w:eastAsia="Georgia" w:hAnsi="Georgia"/>
          <w:color w:val="2A1410"/>
          <w:sz w:val="24"/>
          <w:szCs w:val="24"/>
        </w:rPr>
        <w:t xml:space="preserve">Using the territorial map and Khan’s correction, argue that a map of colonial “claims” is really a map of European desire — and describe what an honest map of 1750 North America would have to show.</w:t>
      </w:r>
    </w:p>
    <w:p>
      <w:pPr>
        <w:pBdr>
          <w:bottom w:val="single" w:color="C08552" w:sz="4" w:space="4"/>
        </w:pBdr>
        <w:spacing w:after="140" w:before="300"/>
      </w:pPr>
      <w:r>
        <w:rPr>
          <w:rFonts w:ascii="Georgia" w:cs="Georgia" w:eastAsia="Georgia" w:hAnsi="Georgia"/>
          <w:b/>
          <w:bCs/>
          <w:color w:val="4A2222"/>
          <w:sz w:val="29"/>
          <w:szCs w:val="29"/>
        </w:rPr>
        <w:t xml:space="preserve">Where This Connects</w:t>
      </w:r>
    </w:p>
    <w:p>
      <w:pPr>
        <w:pStyle w:val="ListParagraph"/>
        <w:numPr>
          <w:ilvl w:val="0"/>
          <w:numId w:val="2"/>
        </w:numPr>
        <w:spacing w:after="130" w:line="288"/>
      </w:pPr>
      <w:r>
        <w:rPr>
          <w:rFonts w:ascii="Georgia" w:cs="Georgia" w:eastAsia="Georgia" w:hAnsi="Georgia"/>
          <w:b/>
          <w:bCs/>
          <w:color w:val="2A1410"/>
          <w:sz w:val="24"/>
          <w:szCs w:val="24"/>
        </w:rPr>
        <w:t xml:space="preserve">Back to Track A:  </w:t>
      </w:r>
      <w:r>
        <w:rPr>
          <w:rFonts w:ascii="Georgia" w:cs="Georgia" w:eastAsia="Georgia" w:hAnsi="Georgia"/>
          <w:color w:val="2A1410"/>
          <w:sz w:val="24"/>
          <w:szCs w:val="24"/>
        </w:rPr>
        <w:t xml:space="preserve">the causal chain to Movement Two begins here; the coming Proclamation line and “race consciousness” feed Movement Three’s removal.</w:t>
      </w:r>
    </w:p>
    <w:p>
      <w:pPr>
        <w:pStyle w:val="ListParagraph"/>
        <w:numPr>
          <w:ilvl w:val="0"/>
          <w:numId w:val="2"/>
        </w:numPr>
        <w:spacing w:after="130" w:line="288"/>
      </w:pPr>
      <w:r>
        <w:rPr>
          <w:rFonts w:ascii="Georgia" w:cs="Georgia" w:eastAsia="Georgia" w:hAnsi="Georgia"/>
          <w:b/>
          <w:bCs/>
          <w:color w:val="2A1410"/>
          <w:sz w:val="24"/>
          <w:szCs w:val="24"/>
        </w:rPr>
        <w:t xml:space="preserve">Next:  </w:t>
      </w:r>
      <w:r>
        <w:rPr>
          <w:rFonts w:ascii="Georgia" w:cs="Georgia" w:eastAsia="Georgia" w:hAnsi="Georgia"/>
          <w:color w:val="2A1410"/>
          <w:sz w:val="24"/>
          <w:szCs w:val="24"/>
        </w:rPr>
        <w:t xml:space="preserve">Part 2 — how the war was won, and the debt and boundary line that doomed the British–American bond.</w:t>
      </w:r>
    </w:p>
    <w:sectPr>
      <w:footerReference w:type="default" r:id="rId7"/>
      <w:pgSz w:w="12240" w:h="15840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spacing w:after="20"/>
      <w:jc w:val="center"/>
    </w:pPr>
    <w:hyperlink r:id="rIdHubReturn" w:history="1">
      <w:r>
        <w:rPr>
          <w:rFonts w:ascii="Georgia" w:cs="Georgia" w:eastAsia="Georgia" w:hAnsi="Georgia"/>
          <w:color w:val="4A2222"/>
          <w:sz w:val="18"/>
          <w:szCs w:val="18"/>
          <w:u w:val="single"/>
        </w:rPr>
        <w:t xml:space="preserve">↩  Return to the Hub</w:t>
      </w:r>
    </w:hyperlink>
  </w:p>
  <w:p>
    <w:pPr>
      <w:pBdr>
        <w:top w:val="single" w:color="C08552" w:sz="4" w:space="6"/>
      </w:pBdr>
      <w:tabs>
        <w:tab w:val="right" w:pos="9360"/>
      </w:tabs>
    </w:pPr>
    <w:r>
      <w:rPr>
        <w:rFonts w:ascii="Georgia" w:cs="Georgia" w:eastAsia="Georgia" w:hAnsi="Georgia"/>
        <w:color w:val="5C2C2C"/>
        <w:sz w:val="18"/>
        <w:szCs w:val="18"/>
      </w:rPr>
      <w:t xml:space="preserve">The People’s Share  ·  thepeoplesshare.org  ·  2026</w:t>
    </w:r>
    <w:r>
      <w:rPr>
        <w:sz w:val="18"/>
        <w:szCs w:val="18"/>
      </w:rPr>
      <w:t xml:space="preserve">	</w:t>
    </w:r>
    <w:r>
      <w:rPr>
        <w:rFonts w:ascii="Georgia" w:cs="Georgia" w:eastAsia="Georgia" w:hAnsi="Georgia"/>
        <w:color w:val="5C2C2C"/>
        <w:sz w:val="18"/>
        <w:szCs w:val="18"/>
      </w:rPr>
      <w:t xml:space="preserve">Page </w:t>
      <w:fldChar w:fldCharType="begin"/>
      <w:instrText xml:space="preserve">PAGE</w:instrText>
      <w:fldChar w:fldCharType="separate"/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multiLevelType w:val="hybridMultilevel"/>
    <w:lvl w:ilvl="0" w15:tentative="1">
      <w:start w:val="1"/>
      <w:numFmt w:val="bullet"/>
      <w:lvlText w:val="—"/>
      <w:lvlJc w:val="left"/>
      <w:pPr>
        <w:ind w:left="460" w:hanging="280"/>
      </w:pPr>
      <w:rPr>
        <w:color w:val="C08552"/>
      </w:rPr>
    </w:lvl>
  </w:abstractNum>
  <w:num w:numId="1">
    <w:abstractNumId w:val="1"/>
    <w:lvlOverride w:ilvl="0">
      <w:startOverride w:val="1"/>
    </w:lvlOverride>
  </w:num>
  <w:num w:numId="2">
    <w:abstractNumId w:val="2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Georgia" w:cs="Georgia" w:eastAsia="Georgia" w:hAnsi="Georgia"/>
        <w:color w:val="2A1410"/>
        <w:sz w:val="24"/>
        <w:szCs w:val="24"/>
      </w:rPr>
    </w:rPrDefault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oter" Target="footer1.xml"/><Relationship Id="rId8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><Relationship Id="rIdHubReturn" Type="http://schemas.openxmlformats.org/officeDocument/2006/relationships/hyperlink" Target="https://thepeoplesshare.org/summer/summer-track-b.html" TargetMode="External"/></Relationships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2026-06-15T20:01:08.550Z</dcterms:created>
  <dcterms:modified xsi:type="dcterms:W3CDTF">2026-06-15T20:01:08.550Z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