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320"/>
        <w:jc w:val="center"/>
      </w:pPr>
      <w:r>
        <w:rPr>
          <w:rFonts w:ascii="Georgia" w:cs="Georgia" w:eastAsia="Georgia" w:hAnsi="Georgia"/>
          <w:b/>
          <w:bCs/>
          <w:color w:val="4A2222"/>
          <w:sz w:val="40"/>
          <w:szCs w:val="40"/>
        </w:rPr>
        <w:t xml:space="preserve">American Culture and Transcendentalism</w:t>
      </w:r>
    </w:p>
    <w:p>
      <w:pPr>
        <w:spacing w:after="60"/>
        <w:jc w:val="center"/>
      </w:pPr>
      <w:r>
        <w:rPr>
          <w:rFonts w:ascii="Georgia" w:cs="Georgia" w:eastAsia="Georgia" w:hAnsi="Georgia"/>
          <w:i/>
          <w:iCs/>
          <w:color w:val="C08552"/>
          <w:sz w:val="26"/>
          <w:szCs w:val="26"/>
        </w:rPr>
        <w:t xml:space="preserve">A Bridge Reading · Track B</w:t>
      </w:r>
    </w:p>
    <w:p>
      <w:pPr>
        <w:spacing w:after="220"/>
        <w:jc w:val="center"/>
      </w:pPr>
      <w:r>
        <w:rPr>
          <w:rFonts w:ascii="Georgia" w:cs="Georgia" w:eastAsia="Georgia" w:hAnsi="Georgia"/>
          <w:color w:val="5C2C2C"/>
          <w:sz w:val="19"/>
          <w:szCs w:val="19"/>
        </w:rPr>
        <w:t xml:space="preserve">U.S. History · Period 4 (1800–1848) · Step 19 of 21 · a bridge reading · about 6 minutes</w:t>
      </w:r>
    </w:p>
    <w:p>
      <w:pPr>
        <w:pBdr>
          <w:bottom w:val="single" w:color="C08552" w:sz="8" w:space="1"/>
        </w:pBdr>
        <w:spacing w:after="200" w:before="60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/>
      </w:r>
    </w:p>
    <w:p>
      <w:pPr>
        <w:pBdr>
          <w:left w:val="single" w:color="6E7E66" w:sz="20" w:space="18"/>
        </w:pBdr>
        <w:shd w:fill="EEF2EB" w:val="clear"/>
        <w:spacing w:after="170" w:before="90" w:line="292"/>
        <w:ind w:left="360" w:right="140"/>
      </w:pP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Why this reading is in your path: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As the country grew, it began to want its own art, literature, and philosophy — not borrowed from Europe. The videos skip this entirely. A short tour of the first distinctly American culture: the transcendentalists, and the communal experiments that tried to live their ideas.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Declaring Cultural Independence</w:t>
      </w:r>
    </w:p>
    <w:p>
      <w:pPr>
        <w:spacing w:after="16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Politically independent since 1783, America was still culturally a colony of Europe — reading British books, copying British styles. In this period, writers and thinkers set out to make something </w:t>
      </w:r>
      <w:r>
        <w:rPr>
          <w:rFonts w:ascii="Georgia" w:cs="Georgia" w:eastAsia="Georgia" w:hAnsi="Georgia"/>
          <w:i/>
          <w:iCs/>
          <w:color w:val="2A1410"/>
          <w:sz w:val="24"/>
          <w:szCs w:val="24"/>
        </w:rPr>
        <w:t xml:space="preserve">American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: Washington Irving and James Fenimore Cooper in fiction, the Hudson River School painting the American landscape as something sublime and sacred, Noah Webster’s American dictionary. A nation was trying to imagine itself.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Transcendentalism</w:t>
      </w:r>
    </w:p>
    <w:p>
      <w:pPr>
        <w:spacing w:after="16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The era’s most important intellectual movement, centered in Massachusetts. Ralph Waldo Emerson (“Self-Reliance”) and Henry David Thoreau (</w:t>
      </w:r>
      <w:r>
        <w:rPr>
          <w:rFonts w:ascii="Georgia" w:cs="Georgia" w:eastAsia="Georgia" w:hAnsi="Georgia"/>
          <w:i/>
          <w:iCs/>
          <w:color w:val="2A1410"/>
          <w:sz w:val="24"/>
          <w:szCs w:val="24"/>
        </w:rPr>
        <w:t xml:space="preserve">Walden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, and “Civil Disobedience”) taught that truth comes from individual intuition and direct experience of nature — not from institutions or tradition — and that each person should trust their own conscience above society’s rules. Note how American it is, and how tightly it links to everything else here: it’s the Second Great Awakening’s “the individual soul matters” turned philosophical, and Jacksonian “common man” democracy turned spiritual. Thoreau’s “Civil Disobedience” — refuse to obey an unjust law — will echo straight through to Movement Six (both Gandhi and King read it).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Communal Experiments</w:t>
      </w:r>
    </w:p>
    <w:p>
      <w:pPr>
        <w:spacing w:after="16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Some tried to </w:t>
      </w:r>
      <w:r>
        <w:rPr>
          <w:rFonts w:ascii="Georgia" w:cs="Georgia" w:eastAsia="Georgia" w:hAnsi="Georgia"/>
          <w:i/>
          <w:iCs/>
          <w:color w:val="2A1410"/>
          <w:sz w:val="24"/>
          <w:szCs w:val="24"/>
        </w:rPr>
        <w:t xml:space="preserve">live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 these ideals by building utopian communities — Brook Farm (transcendentalist), New Harmony (secular socialist), the religious Shakers and Oneida (from your Awakening videos). Most failed fast. Note what they shared: a belief that society could be redesigned from scratch on better principles — the same reforming optimism driving abolition and women’s rights, now aimed at daily life itself.</w:t>
      </w:r>
    </w:p>
    <w:p>
      <w:pPr>
        <w:pBdr>
          <w:bottom w:val="single" w:color="C08552" w:sz="8" w:space="1"/>
        </w:pBdr>
        <w:spacing w:after="200" w:before="60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/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Questions to Sit With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Transcendentalism said trust your own conscience above society’s rules. That’s liberating — and risky. When is following your own conscience over the law right, and when is it dangerous?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Thoreau’s “Civil Disobedience” reaches all the way to King and Gandhi. Why do some ideas travel so far beyond their moment?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The utopian communities almost all failed. Does that make them foolish, or are failed experiments still worth something?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Where This Connects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Back to Track A: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the Second Great Awakening (the individual-soul idea, philosophized); Movement Six (Thoreau’s civil disobedience → King).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Next: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the two topics in this period with no video at all — and among the most important.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20"/>
      <w:jc w:val="center"/>
    </w:pPr>
    <w:hyperlink r:id="rIdHubReturn" w:history="1">
      <w:r>
        <w:rPr>
          <w:rFonts w:ascii="Georgia" w:cs="Georgia" w:eastAsia="Georgia" w:hAnsi="Georgia"/>
          <w:color w:val="4A2222"/>
          <w:sz w:val="18"/>
          <w:szCs w:val="18"/>
          <w:u w:val="single"/>
        </w:rPr>
        <w:t xml:space="preserve">↩  Return to the Hub</w:t>
      </w:r>
    </w:hyperlink>
  </w:p>
  <w:p>
    <w:pPr>
      <w:pBdr>
        <w:top w:val="single" w:color="C08552" w:sz="4" w:space="6"/>
      </w:pBdr>
      <w:tabs>
        <w:tab w:val="right" w:pos="9360"/>
      </w:tabs>
    </w:pPr>
    <w:r>
      <w:rPr>
        <w:rFonts w:ascii="Georgia" w:cs="Georgia" w:eastAsia="Georgia" w:hAnsi="Georgia"/>
        <w:color w:val="5C2C2C"/>
        <w:sz w:val="18"/>
        <w:szCs w:val="18"/>
      </w:rPr>
      <w:t xml:space="preserve">The People’s Share  ·  thepeoplesshare.org  ·  2026</w:t>
    </w:r>
    <w:r>
      <w:rPr>
        <w:sz w:val="18"/>
        <w:szCs w:val="18"/>
      </w:rPr>
      <w:t xml:space="preserve">	</w:t>
    </w:r>
    <w:r>
      <w:rPr>
        <w:rFonts w:ascii="Georgia" w:cs="Georgia" w:eastAsia="Georgia" w:hAnsi="Georgia"/>
        <w:color w:val="5C2C2C"/>
        <w:sz w:val="18"/>
        <w:szCs w:val="18"/>
      </w:rPr>
      <w:t xml:space="preserve">Page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—"/>
      <w:lvlJc w:val="left"/>
      <w:pPr>
        <w:ind w:left="460" w:hanging="280"/>
      </w:pPr>
      <w:rPr>
        <w:color w:val="C08552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cs="Georgia" w:eastAsia="Georgia" w:hAnsi="Georgia"/>
        <w:color w:val="2A1410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HubReturn" Type="http://schemas.openxmlformats.org/officeDocument/2006/relationships/hyperlink" Target="https://thepeoplesshare.org/summer/summer-track-b.html" TargetMode="External"/></Relationships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2026-06-15T20:36:16.810Z</dcterms:created>
  <dcterms:modified xsi:type="dcterms:W3CDTF">2026-06-15T20:36:16.810Z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