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320"/>
        <w:jc w:val="center"/>
      </w:pPr>
      <w:r>
        <w:rPr>
          <w:rFonts w:ascii="Georgia" w:cs="Georgia" w:eastAsia="Georgia" w:hAnsi="Georgia"/>
          <w:b/>
          <w:bCs/>
          <w:color w:val="4A2222"/>
          <w:sz w:val="40"/>
          <w:szCs w:val="40"/>
        </w:rPr>
        <w:t xml:space="preserve">The Monroe Doctrine</w:t>
      </w:r>
    </w:p>
    <w:p>
      <w:pPr>
        <w:spacing w:after="60"/>
        <w:jc w:val="center"/>
      </w:pPr>
      <w:r>
        <w:rPr>
          <w:rFonts w:ascii="Georgia" w:cs="Georgia" w:eastAsia="Georgia" w:hAnsi="Georgia"/>
          <w:i/>
          <w:iCs/>
          <w:color w:val="C08552"/>
          <w:sz w:val="26"/>
          <w:szCs w:val="26"/>
        </w:rPr>
        <w:t xml:space="preserve">The Annotated Khan Course · Track B</w:t>
      </w:r>
    </w:p>
    <w:p>
      <w:pPr>
        <w:spacing w:after="220"/>
        <w:jc w:val="center"/>
      </w:pPr>
      <w:r>
        <w:rPr>
          <w:rFonts w:ascii="Georgia" w:cs="Georgia" w:eastAsia="Georgia" w:hAnsi="Georgia"/>
          <w:color w:val="5C2C2C"/>
          <w:sz w:val="19"/>
          <w:szCs w:val="19"/>
        </w:rPr>
        <w:t xml:space="preserve">U.S. History · Period 4 (1800–1848) · Step 2 of 21 · about 14 minutes</w:t>
      </w:r>
    </w:p>
    <w:p>
      <w:pPr>
        <w:pBdr>
          <w:bottom w:val="single" w:color="C08552" w:sz="8" w:space="1"/>
        </w:pBdr>
        <w:spacing w:after="200" w:before="60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/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How to Read This</w:t>
      </w:r>
    </w:p>
    <w:p>
      <w:pPr>
        <w:spacing w:after="16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This is a companion, not a replacement. Watch the actual video on Khan Academy, keep this page open beside it, and pause at each timecode to read the note. Nothing here is graded.</w:t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What This Video Does</w:t>
      </w:r>
    </w:p>
    <w:p>
      <w:pPr>
        <w:spacing w:after="16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In 1823 a second-rate power told the empires of Europe to stay out of the entire hemisphere — and got away with it, mostly because the British navy quietly agreed. Khan reads the Doctrine itself and unpacks the bluff, the markets behind it, and how a weak nation’s bold words became a century of foreign policy.</w:t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In the Margins</w:t>
      </w:r>
    </w:p>
    <w:p>
      <w:pPr>
        <w:pBdr>
          <w:left w:val="single" w:color="C08552" w:sz="20" w:space="18"/>
        </w:pBdr>
        <w:shd w:fill="F6F0E2" w:val="clear"/>
        <w:spacing w:after="150" w:before="90" w:line="288"/>
        <w:ind w:left="360" w:right="140"/>
      </w:pPr>
      <w:r>
        <w:rPr>
          <w:rFonts w:ascii="Georgia" w:cs="Georgia" w:eastAsia="Georgia" w:hAnsi="Georgia"/>
          <w:b/>
          <w:bCs/>
          <w:color w:val="4A2222"/>
          <w:sz w:val="23"/>
          <w:szCs w:val="23"/>
        </w:rPr>
        <w:t xml:space="preserve">~1:50  ·  </w:t>
      </w:r>
      <w:r>
        <w:rPr>
          <w:rFonts w:ascii="Georgia" w:cs="Georgia" w:eastAsia="Georgia" w:hAnsi="Georgia"/>
          <w:b/>
          <w:bCs/>
          <w:color w:val="5C2C2C"/>
          <w:sz w:val="23"/>
          <w:szCs w:val="23"/>
        </w:rPr>
        <w:t xml:space="preserve">The bluff, stated plainly.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Khan is blunt: in 1823 the U.S. was “a second-rate nation in a second-rate part of the world,” with no navy to enforce anything. The Monroe Doctrine was a mosquito telling rottweilers what to do. Mind the gap between the words and the power behind them — then ask why anyone listened.</w:t>
      </w:r>
    </w:p>
    <w:p>
      <w:pPr>
        <w:pBdr>
          <w:left w:val="single" w:color="C08552" w:sz="20" w:space="18"/>
        </w:pBdr>
        <w:shd w:fill="F6F0E2" w:val="clear"/>
        <w:spacing w:after="150" w:before="90" w:line="288"/>
        <w:ind w:left="360" w:right="140"/>
      </w:pPr>
      <w:r>
        <w:rPr>
          <w:rFonts w:ascii="Georgia" w:cs="Georgia" w:eastAsia="Georgia" w:hAnsi="Georgia"/>
          <w:b/>
          <w:bCs/>
          <w:color w:val="4A2222"/>
          <w:sz w:val="23"/>
          <w:szCs w:val="23"/>
        </w:rPr>
        <w:t xml:space="preserve">~6:00  ·  </w:t>
      </w:r>
      <w:r>
        <w:rPr>
          <w:rFonts w:ascii="Georgia" w:cs="Georgia" w:eastAsia="Georgia" w:hAnsi="Georgia"/>
          <w:b/>
          <w:bCs/>
          <w:color w:val="5C2C2C"/>
          <w:sz w:val="23"/>
          <w:szCs w:val="23"/>
        </w:rPr>
        <w:t xml:space="preserve">Follow the markets.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Why did the U.S. and Britain care if Spain reconquered its Latin American colonies? Because independent nations could trade freely — and mercantilism (your Period 2 bridge) meant a re-colonized South America would be slammed shut to outside trade again. The lofty “hemisphere of democracy” rhetoric sits on top of a commercial motive. Both are real; watch them braid.</w:t>
      </w:r>
    </w:p>
    <w:p>
      <w:pPr>
        <w:pBdr>
          <w:left w:val="single" w:color="C08552" w:sz="20" w:space="18"/>
        </w:pBdr>
        <w:shd w:fill="F6F0E2" w:val="clear"/>
        <w:spacing w:after="150" w:before="90" w:line="288"/>
        <w:ind w:left="360" w:right="140"/>
      </w:pPr>
      <w:r>
        <w:rPr>
          <w:rFonts w:ascii="Georgia" w:cs="Georgia" w:eastAsia="Georgia" w:hAnsi="Georgia"/>
          <w:b/>
          <w:bCs/>
          <w:color w:val="4A2222"/>
          <w:sz w:val="23"/>
          <w:szCs w:val="23"/>
        </w:rPr>
        <w:t xml:space="preserve">~8:30  ·  </w:t>
      </w:r>
      <w:r>
        <w:rPr>
          <w:rFonts w:ascii="Georgia" w:cs="Georgia" w:eastAsia="Georgia" w:hAnsi="Georgia"/>
          <w:b/>
          <w:bCs/>
          <w:color w:val="5C2C2C"/>
          <w:sz w:val="23"/>
          <w:szCs w:val="23"/>
        </w:rPr>
        <w:t xml:space="preserve">The deal Adams refused — and improved.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Britain proposed a </w:t>
      </w:r>
      <w:r>
        <w:rPr>
          <w:rFonts w:ascii="Georgia" w:cs="Georgia" w:eastAsia="Georgia" w:hAnsi="Georgia"/>
          <w:i/>
          <w:iCs/>
          <w:color w:val="2A1410"/>
          <w:sz w:val="24"/>
          <w:szCs w:val="24"/>
        </w:rPr>
        <w:t xml:space="preserve">joint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 declaration; Secretary of State John Quincy Adams said no — a joint statement would make the U.S. look like “a flea on the back of a Rottweiler.” Better to declare it alone and stand as a power in its own right. This is the same JQA whose lonely, principled presidency your very next bridge covers.</w:t>
      </w:r>
    </w:p>
    <w:p>
      <w:pPr>
        <w:pBdr>
          <w:left w:val="single" w:color="C08552" w:sz="20" w:space="18"/>
        </w:pBdr>
        <w:shd w:fill="F6F0E2" w:val="clear"/>
        <w:spacing w:after="150" w:before="90" w:line="288"/>
        <w:ind w:left="360" w:right="140"/>
      </w:pPr>
      <w:r>
        <w:rPr>
          <w:rFonts w:ascii="Georgia" w:cs="Georgia" w:eastAsia="Georgia" w:hAnsi="Georgia"/>
          <w:b/>
          <w:bCs/>
          <w:color w:val="4A2222"/>
          <w:sz w:val="23"/>
          <w:szCs w:val="23"/>
        </w:rPr>
        <w:t xml:space="preserve">~10:30  ·  </w:t>
      </w:r>
      <w:r>
        <w:rPr>
          <w:rFonts w:ascii="Georgia" w:cs="Georgia" w:eastAsia="Georgia" w:hAnsi="Georgia"/>
          <w:b/>
          <w:bCs/>
          <w:color w:val="5C2C2C"/>
          <w:sz w:val="23"/>
          <w:szCs w:val="23"/>
        </w:rPr>
        <w:t xml:space="preserve">Washington’s Farewell, turned outward.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Khan ties it back: Washington warned against entanglement in Europe’s wars (Period 3’s </w:t>
      </w:r>
      <w:r>
        <w:rPr>
          <w:rFonts w:ascii="Georgia" w:cs="Georgia" w:eastAsia="Georgia" w:hAnsi="Georgia"/>
          <w:i/>
          <w:iCs/>
          <w:color w:val="2A1410"/>
          <w:sz w:val="24"/>
          <w:szCs w:val="24"/>
        </w:rPr>
        <w:t xml:space="preserve">Shaping a New Republic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 bridge). The Monroe Doctrine takes that isolationism and flips it into a demand — Europe, stay out of </w:t>
      </w:r>
      <w:r>
        <w:rPr>
          <w:rFonts w:ascii="Georgia" w:cs="Georgia" w:eastAsia="Georgia" w:hAnsi="Georgia"/>
          <w:i/>
          <w:iCs/>
          <w:color w:val="2A1410"/>
          <w:sz w:val="24"/>
          <w:szCs w:val="24"/>
        </w:rPr>
        <w:t xml:space="preserve">our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 hemisphere. Same wall, now facing the other way.</w:t>
      </w:r>
    </w:p>
    <w:p>
      <w:pPr>
        <w:pBdr>
          <w:left w:val="single" w:color="C08552" w:sz="20" w:space="18"/>
        </w:pBdr>
        <w:shd w:fill="F6F0E2" w:val="clear"/>
        <w:spacing w:after="150" w:before="90" w:line="288"/>
        <w:ind w:left="360" w:right="140"/>
      </w:pPr>
      <w:r>
        <w:rPr>
          <w:rFonts w:ascii="Georgia" w:cs="Georgia" w:eastAsia="Georgia" w:hAnsi="Georgia"/>
          <w:b/>
          <w:bCs/>
          <w:color w:val="4A2222"/>
          <w:sz w:val="23"/>
          <w:szCs w:val="23"/>
        </w:rPr>
        <w:t xml:space="preserve">~12:00  ·  </w:t>
      </w:r>
      <w:r>
        <w:rPr>
          <w:rFonts w:ascii="Georgia" w:cs="Georgia" w:eastAsia="Georgia" w:hAnsi="Georgia"/>
          <w:b/>
          <w:bCs/>
          <w:color w:val="5C2C2C"/>
          <w:sz w:val="23"/>
          <w:szCs w:val="23"/>
        </w:rPr>
        <w:t xml:space="preserve">The weasel, or the genius?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Khan leaves it open: the Doctrine worked only because the British navy, guarding its own trade, enforced it by proxy. Was Monroe a freeloader hiding behind Britain, or a shrewd strategist who got a superpower to defend his policy for free? Hold the question — and note the Doctrine’s dark future: a century on it becomes the justification for U.S. domination of Latin America under Teddy Roosevelt. A defensive shield becomes an offensive claim.</w:t>
      </w:r>
    </w:p>
    <w:p>
      <w:pPr>
        <w:pBdr>
          <w:bottom w:val="single" w:color="C08552" w:sz="8" w:space="1"/>
        </w:pBdr>
        <w:spacing w:after="200" w:before="60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/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After You Watch — Questions to Sit With</w:t>
      </w:r>
    </w:p>
    <w:p>
      <w:pPr>
        <w:pStyle w:val="ListParagraph"/>
        <w:numPr>
          <w:ilvl w:val="0"/>
          <w:numId w:val="2"/>
        </w:numPr>
        <w:spacing w:after="13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The Monroe Doctrine was enforced by the British navy, not the American one. Genius or freeloading — and does it matter, if it worked?</w:t>
      </w:r>
    </w:p>
    <w:p>
      <w:pPr>
        <w:pStyle w:val="ListParagraph"/>
        <w:numPr>
          <w:ilvl w:val="0"/>
          <w:numId w:val="2"/>
        </w:numPr>
        <w:spacing w:after="13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The “hemisphere of democracy” rhetoric sat on top of a trade motive. When a country acts, how do you tell the stated reason from the real one — and can both be true?</w:t>
      </w:r>
    </w:p>
    <w:p>
      <w:pPr>
        <w:pStyle w:val="ListParagraph"/>
        <w:numPr>
          <w:ilvl w:val="0"/>
          <w:numId w:val="2"/>
        </w:numPr>
        <w:spacing w:after="13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A defensive doctrine became, a century later, a license to dominate Latin America. How do the words a nation writes get used by the people who come after?</w:t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An Invitation to Write</w:t>
      </w:r>
    </w:p>
    <w:p>
      <w:pPr>
        <w:pBdr>
          <w:left w:val="single" w:color="6E7E66" w:sz="20" w:space="18"/>
        </w:pBdr>
        <w:spacing w:after="160" w:before="90" w:line="300"/>
        <w:ind w:left="360" w:right="140"/>
      </w:pPr>
      <w:r>
        <w:rPr>
          <w:rFonts w:ascii="Georgia" w:cs="Georgia" w:eastAsia="Georgia" w:hAnsi="Georgia"/>
          <w:b/>
          <w:bCs/>
          <w:i/>
          <w:iCs/>
          <w:color w:val="5C2C2C"/>
          <w:sz w:val="24"/>
          <w:szCs w:val="24"/>
        </w:rPr>
        <w:t xml:space="preserve">The bluff that became a doctrine.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Argue how a nation with no power to enforce a policy made it stick anyway — using the British navy, the markets, and Adams’s refusal of the joint declaration.</w:t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Where This Connects</w:t>
      </w:r>
    </w:p>
    <w:p>
      <w:pPr>
        <w:pStyle w:val="ListParagraph"/>
        <w:numPr>
          <w:ilvl w:val="0"/>
          <w:numId w:val="2"/>
        </w:numPr>
        <w:spacing w:after="130" w:line="288"/>
      </w:pPr>
      <w:r>
        <w:rPr>
          <w:rFonts w:ascii="Georgia" w:cs="Georgia" w:eastAsia="Georgia" w:hAnsi="Georgia"/>
          <w:b/>
          <w:bCs/>
          <w:color w:val="2A1410"/>
          <w:sz w:val="24"/>
          <w:szCs w:val="24"/>
        </w:rPr>
        <w:t xml:space="preserve">Back to Track A: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Washington’s Farewell (Period 3); Period 2’s mercantilism bridge; the Latin American supplement (the new republics this concerned).</w:t>
      </w:r>
    </w:p>
    <w:p>
      <w:pPr>
        <w:pStyle w:val="ListParagraph"/>
        <w:numPr>
          <w:ilvl w:val="0"/>
          <w:numId w:val="2"/>
        </w:numPr>
        <w:spacing w:after="130" w:line="288"/>
      </w:pPr>
      <w:r>
        <w:rPr>
          <w:rFonts w:ascii="Georgia" w:cs="Georgia" w:eastAsia="Georgia" w:hAnsi="Georgia"/>
          <w:b/>
          <w:bCs/>
          <w:color w:val="2A1410"/>
          <w:sz w:val="24"/>
          <w:szCs w:val="24"/>
        </w:rPr>
        <w:t xml:space="preserve">Next: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a bridge on John Quincy Adams — the man who wrote this, and the one-term president the Jackson videos only mock.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20"/>
      <w:jc w:val="center"/>
    </w:pPr>
    <w:hyperlink r:id="rIdHubReturn" w:history="1">
      <w:r>
        <w:rPr>
          <w:rFonts w:ascii="Georgia" w:cs="Georgia" w:eastAsia="Georgia" w:hAnsi="Georgia"/>
          <w:color w:val="4A2222"/>
          <w:sz w:val="18"/>
          <w:szCs w:val="18"/>
          <w:u w:val="single"/>
        </w:rPr>
        <w:t xml:space="preserve">↩  Return to the Hub</w:t>
      </w:r>
    </w:hyperlink>
  </w:p>
  <w:p>
    <w:pPr>
      <w:pBdr>
        <w:top w:val="single" w:color="C08552" w:sz="4" w:space="6"/>
      </w:pBdr>
      <w:tabs>
        <w:tab w:val="right" w:pos="9360"/>
      </w:tabs>
    </w:pPr>
    <w:r>
      <w:rPr>
        <w:rFonts w:ascii="Georgia" w:cs="Georgia" w:eastAsia="Georgia" w:hAnsi="Georgia"/>
        <w:color w:val="5C2C2C"/>
        <w:sz w:val="18"/>
        <w:szCs w:val="18"/>
      </w:rPr>
      <w:t xml:space="preserve">The People’s Share  ·  thepeoplesshare.org  ·  2026</w:t>
    </w:r>
    <w:r>
      <w:rPr>
        <w:sz w:val="18"/>
        <w:szCs w:val="18"/>
      </w:rPr>
      <w:t xml:space="preserve">	</w:t>
    </w:r>
    <w:r>
      <w:rPr>
        <w:rFonts w:ascii="Georgia" w:cs="Georgia" w:eastAsia="Georgia" w:hAnsi="Georgia"/>
        <w:color w:val="5C2C2C"/>
        <w:sz w:val="18"/>
        <w:szCs w:val="18"/>
      </w:rPr>
      <w:t xml:space="preserve">Page </w:t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—"/>
      <w:lvlJc w:val="left"/>
      <w:pPr>
        <w:ind w:left="460" w:hanging="280"/>
      </w:pPr>
      <w:rPr>
        <w:color w:val="C08552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Georgia" w:cs="Georgia" w:eastAsia="Georgia" w:hAnsi="Georgia"/>
        <w:color w:val="2A1410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><Relationship Id="rIdHubReturn" Type="http://schemas.openxmlformats.org/officeDocument/2006/relationships/hyperlink" Target="https://thepeoplesshare.org/summer/summer-track-b.html" TargetMode="External"/></Relationships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2026-06-15T20:36:16.703Z</dcterms:created>
  <dcterms:modified xsi:type="dcterms:W3CDTF">2026-06-15T20:36:16.703Z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