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320"/>
        <w:jc w:val="center"/>
      </w:pPr>
      <w:r>
        <w:rPr>
          <w:rFonts w:ascii="Georgia" w:cs="Georgia" w:eastAsia="Georgia" w:hAnsi="Georgia"/>
          <w:b/>
          <w:bCs/>
          <w:color w:val="4A2222"/>
          <w:sz w:val="40"/>
          <w:szCs w:val="40"/>
        </w:rPr>
        <w:t xml:space="preserve">The Early Temperance Movement, Part 1: Origins</w:t>
      </w:r>
    </w:p>
    <w:p>
      <w:pPr>
        <w:spacing w:after="60"/>
        <w:jc w:val="center"/>
      </w:pPr>
      <w:r>
        <w:rPr>
          <w:rFonts w:ascii="Georgia" w:cs="Georgia" w:eastAsia="Georgia" w:hAnsi="Georgia"/>
          <w:i/>
          <w:iCs/>
          <w:color w:val="C08552"/>
          <w:sz w:val="26"/>
          <w:szCs w:val="26"/>
        </w:rPr>
        <w:t xml:space="preserve">The Annotated Khan Course · Track B</w:t>
      </w:r>
    </w:p>
    <w:p>
      <w:pPr>
        <w:spacing w:after="220"/>
        <w:jc w:val="center"/>
      </w:pPr>
      <w:r>
        <w:rPr>
          <w:rFonts w:ascii="Georgia" w:cs="Georgia" w:eastAsia="Georgia" w:hAnsi="Georgia"/>
          <w:color w:val="5C2C2C"/>
          <w:sz w:val="19"/>
          <w:szCs w:val="19"/>
        </w:rPr>
        <w:t xml:space="preserve">U.S. History · Period 4 (1800–1848) · Step 16 of 21 · about 5 minutes</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How to Read This</w:t>
      </w:r>
    </w:p>
    <w:p>
      <w:pPr>
        <w:spacing w:after="160" w:line="288"/>
      </w:pPr>
      <w:r>
        <w:rPr>
          <w:rFonts w:ascii="Georgia" w:cs="Georgia" w:eastAsia="Georgia" w:hAnsi="Georgia"/>
          <w:color w:val="2A1410"/>
          <w:sz w:val="24"/>
          <w:szCs w:val="24"/>
        </w:rPr>
        <w:t xml:space="preserve">This is a companion, not a replacement. Watch the actual video on Khan Academy, keep this page open beside it, and pause at each timecode to read the note. Nothing here is graded.</w:t>
      </w:r>
    </w:p>
    <w:p>
      <w:pPr>
        <w:pBdr>
          <w:bottom w:val="single" w:color="C08552" w:sz="4" w:space="4"/>
        </w:pBdr>
        <w:spacing w:after="140" w:before="300"/>
      </w:pPr>
      <w:r>
        <w:rPr>
          <w:rFonts w:ascii="Georgia" w:cs="Georgia" w:eastAsia="Georgia" w:hAnsi="Georgia"/>
          <w:b/>
          <w:bCs/>
          <w:color w:val="4A2222"/>
          <w:sz w:val="29"/>
          <w:szCs w:val="29"/>
        </w:rPr>
        <w:t xml:space="preserve">What This Video Does</w:t>
      </w:r>
    </w:p>
    <w:p>
      <w:pPr>
        <w:spacing w:after="160" w:line="288"/>
      </w:pPr>
      <w:r>
        <w:rPr>
          <w:rFonts w:ascii="Georgia" w:cs="Georgia" w:eastAsia="Georgia" w:hAnsi="Georgia"/>
          <w:color w:val="2A1410"/>
          <w:sz w:val="24"/>
          <w:szCs w:val="24"/>
        </w:rPr>
        <w:t xml:space="preserve">Part 1: the movement to curb — then ban — drinking. Becca lays out temperance’s three causes — the Second Great Awakening, the Industrial Revolution, and anti-immigrant nativism — and its early growth into the first national reform society. A clear window into how a reform movement actually assembles.</w:t>
      </w:r>
    </w:p>
    <w:p>
      <w:pPr>
        <w:pBdr>
          <w:bottom w:val="single" w:color="C08552" w:sz="4" w:space="4"/>
        </w:pBdr>
        <w:spacing w:after="140" w:before="300"/>
      </w:pPr>
      <w:r>
        <w:rPr>
          <w:rFonts w:ascii="Georgia" w:cs="Georgia" w:eastAsia="Georgia" w:hAnsi="Georgia"/>
          <w:b/>
          <w:bCs/>
          <w:color w:val="4A2222"/>
          <w:sz w:val="29"/>
          <w:szCs w:val="29"/>
        </w:rPr>
        <w:t xml:space="preserve">In the Margins</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~0:30  ·  </w:t>
      </w:r>
      <w:r>
        <w:rPr>
          <w:rFonts w:ascii="Georgia" w:cs="Georgia" w:eastAsia="Georgia" w:hAnsi="Georgia"/>
          <w:b/>
          <w:bCs/>
          <w:color w:val="5C2C2C"/>
          <w:sz w:val="23"/>
          <w:szCs w:val="23"/>
        </w:rPr>
        <w:t xml:space="preserve">What temperance was.  </w:t>
      </w:r>
      <w:r>
        <w:rPr>
          <w:rFonts w:ascii="Georgia" w:cs="Georgia" w:eastAsia="Georgia" w:hAnsi="Georgia"/>
          <w:color w:val="2A1410"/>
          <w:sz w:val="24"/>
          <w:szCs w:val="24"/>
        </w:rPr>
        <w:t xml:space="preserve">It began as “drink a </w:t>
      </w:r>
      <w:r>
        <w:rPr>
          <w:rFonts w:ascii="Georgia" w:cs="Georgia" w:eastAsia="Georgia" w:hAnsi="Georgia"/>
          <w:i/>
          <w:iCs/>
          <w:color w:val="2A1410"/>
          <w:sz w:val="24"/>
          <w:szCs w:val="24"/>
        </w:rPr>
        <w:t xml:space="preserve">little</w:t>
      </w:r>
      <w:r>
        <w:rPr>
          <w:rFonts w:ascii="Georgia" w:cs="Georgia" w:eastAsia="Georgia" w:hAnsi="Georgia"/>
          <w:color w:val="2A1410"/>
          <w:sz w:val="24"/>
          <w:szCs w:val="24"/>
        </w:rPr>
        <w:t xml:space="preserve"> less” — temper your consumption — and slowly hardened toward total prohibition. Note the drift: reform movements often escalate from moderation to absolutism. Watch it happen across these two videos.</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~1:30  ·  </w:t>
      </w:r>
      <w:r>
        <w:rPr>
          <w:rFonts w:ascii="Georgia" w:cs="Georgia" w:eastAsia="Georgia" w:hAnsi="Georgia"/>
          <w:b/>
          <w:bCs/>
          <w:color w:val="5C2C2C"/>
          <w:sz w:val="23"/>
          <w:szCs w:val="23"/>
        </w:rPr>
        <w:t xml:space="preserve">Three causes, braided.  </w:t>
      </w:r>
      <w:r>
        <w:rPr>
          <w:rFonts w:ascii="Georgia" w:cs="Georgia" w:eastAsia="Georgia" w:hAnsi="Georgia"/>
          <w:color w:val="2A1410"/>
          <w:sz w:val="24"/>
          <w:szCs w:val="24"/>
        </w:rPr>
        <w:t xml:space="preserve">Becca’s clean framework — temperance came from (1) the Second Great Awakening (drinking as sin, reform as Christian duty), (2) the Industrial Revolution (you can’t run dangerous machinery drunk — sober workers were now an economic necessity), and (3) nativism (the stereotype of the drunken Catholic immigrant). Note how one movement braids the spiritual, the economic, and the bigoted together. Real movements are never one pure thing.</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~2:45  ·  </w:t>
      </w:r>
      <w:r>
        <w:rPr>
          <w:rFonts w:ascii="Georgia" w:cs="Georgia" w:eastAsia="Georgia" w:hAnsi="Georgia"/>
          <w:b/>
          <w:bCs/>
          <w:color w:val="5C2C2C"/>
          <w:sz w:val="23"/>
          <w:szCs w:val="23"/>
        </w:rPr>
        <w:t xml:space="preserve">The ugly thread: nativism.  </w:t>
      </w:r>
      <w:r>
        <w:rPr>
          <w:rFonts w:ascii="Georgia" w:cs="Georgia" w:eastAsia="Georgia" w:hAnsi="Georgia"/>
          <w:color w:val="2A1410"/>
          <w:sz w:val="24"/>
          <w:szCs w:val="24"/>
        </w:rPr>
        <w:t xml:space="preserve">Becca is honest that temperance carried real anti-Catholic, anti-Irish bigotry — Protestants casting immigrants as drunks, the Whigs becoming the Protestant temperance party, Catholics aligning with the Democrats. Hold this beside your immigration bridge: the same newcomers, scapegoated again. A reform can carry prejudice inside it.</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~4:00  ·  </w:t>
      </w:r>
      <w:r>
        <w:rPr>
          <w:rFonts w:ascii="Georgia" w:cs="Georgia" w:eastAsia="Georgia" w:hAnsi="Georgia"/>
          <w:b/>
          <w:bCs/>
          <w:color w:val="5C2C2C"/>
          <w:sz w:val="23"/>
          <w:szCs w:val="23"/>
        </w:rPr>
        <w:t xml:space="preserve">Beecher and the first national society.  </w:t>
      </w:r>
      <w:r>
        <w:rPr>
          <w:rFonts w:ascii="Georgia" w:cs="Georgia" w:eastAsia="Georgia" w:hAnsi="Georgia"/>
          <w:color w:val="2A1410"/>
          <w:sz w:val="24"/>
          <w:szCs w:val="24"/>
        </w:rPr>
        <w:t xml:space="preserve">Lyman Beecher (him again — the revival connects everything) preached six famous sermons against alcohol in 1825; the American Temperance Society formed in 1826 — the first </w:t>
      </w:r>
      <w:r>
        <w:rPr>
          <w:rFonts w:ascii="Georgia" w:cs="Georgia" w:eastAsia="Georgia" w:hAnsi="Georgia"/>
          <w:i/>
          <w:iCs/>
          <w:color w:val="2A1410"/>
          <w:sz w:val="24"/>
          <w:szCs w:val="24"/>
        </w:rPr>
        <w:t xml:space="preserve">national</w:t>
      </w:r>
      <w:r>
        <w:rPr>
          <w:rFonts w:ascii="Georgia" w:cs="Georgia" w:eastAsia="Georgia" w:hAnsi="Georgia"/>
          <w:color w:val="2A1410"/>
          <w:sz w:val="24"/>
          <w:szCs w:val="24"/>
        </w:rPr>
        <w:t xml:space="preserve"> reform organization. Note how the Awakening’s preachers seeded the reform movements directly.</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After You Watch — Questions to Sit With</w:t>
      </w:r>
    </w:p>
    <w:p>
      <w:pPr>
        <w:pStyle w:val="ListParagraph"/>
        <w:numPr>
          <w:ilvl w:val="0"/>
          <w:numId w:val="2"/>
        </w:numPr>
        <w:spacing w:after="130" w:line="288"/>
      </w:pPr>
      <w:r>
        <w:rPr>
          <w:rFonts w:ascii="Georgia" w:cs="Georgia" w:eastAsia="Georgia" w:hAnsi="Georgia"/>
          <w:color w:val="2A1410"/>
          <w:sz w:val="24"/>
          <w:szCs w:val="24"/>
        </w:rPr>
        <w:t xml:space="preserve">Temperance braided together faith, factory discipline, and anti-immigrant bigotry. Can a reform movement be partly righteous and partly prejudiced at once? How do you judge it?</w:t>
      </w:r>
    </w:p>
    <w:p>
      <w:pPr>
        <w:pStyle w:val="ListParagraph"/>
        <w:numPr>
          <w:ilvl w:val="0"/>
          <w:numId w:val="2"/>
        </w:numPr>
        <w:spacing w:after="130" w:line="288"/>
      </w:pPr>
      <w:r>
        <w:rPr>
          <w:rFonts w:ascii="Georgia" w:cs="Georgia" w:eastAsia="Georgia" w:hAnsi="Georgia"/>
          <w:color w:val="2A1410"/>
          <w:sz w:val="24"/>
          <w:szCs w:val="24"/>
        </w:rPr>
        <w:t xml:space="preserve">The Industrial Revolution made sobriety an economic demand, not just a moral one. How much of “moral” reform is really about what the economy needs?</w:t>
      </w:r>
    </w:p>
    <w:p>
      <w:pPr>
        <w:pStyle w:val="ListParagraph"/>
        <w:numPr>
          <w:ilvl w:val="0"/>
          <w:numId w:val="2"/>
        </w:numPr>
        <w:spacing w:after="130" w:line="288"/>
      </w:pPr>
      <w:r>
        <w:rPr>
          <w:rFonts w:ascii="Georgia" w:cs="Georgia" w:eastAsia="Georgia" w:hAnsi="Georgia"/>
          <w:color w:val="2A1410"/>
          <w:sz w:val="24"/>
          <w:szCs w:val="24"/>
        </w:rPr>
        <w:t xml:space="preserve">The same immigrants scapegoated by the nativists were the target of temperance. Why do reform movements so often find an enemy?</w:t>
      </w:r>
    </w:p>
    <w:p>
      <w:pPr>
        <w:pBdr>
          <w:bottom w:val="single" w:color="C08552" w:sz="4" w:space="4"/>
        </w:pBdr>
        <w:spacing w:after="140" w:before="300"/>
      </w:pPr>
      <w:r>
        <w:rPr>
          <w:rFonts w:ascii="Georgia" w:cs="Georgia" w:eastAsia="Georgia" w:hAnsi="Georgia"/>
          <w:b/>
          <w:bCs/>
          <w:color w:val="4A2222"/>
          <w:sz w:val="29"/>
          <w:szCs w:val="29"/>
        </w:rPr>
        <w:t xml:space="preserve">An Invitation to Write</w:t>
      </w:r>
    </w:p>
    <w:p>
      <w:pPr>
        <w:pBdr>
          <w:left w:val="single" w:color="6E7E66" w:sz="20" w:space="18"/>
        </w:pBdr>
        <w:spacing w:after="160" w:before="90" w:line="300"/>
        <w:ind w:left="360" w:right="140"/>
      </w:pPr>
      <w:r>
        <w:rPr>
          <w:rFonts w:ascii="Georgia" w:cs="Georgia" w:eastAsia="Georgia" w:hAnsi="Georgia"/>
          <w:b/>
          <w:bCs/>
          <w:i/>
          <w:iCs/>
          <w:color w:val="5C2C2C"/>
          <w:sz w:val="24"/>
          <w:szCs w:val="24"/>
        </w:rPr>
        <w:t xml:space="preserve">Three roots of one crusade.  </w:t>
      </w:r>
      <w:r>
        <w:rPr>
          <w:rFonts w:ascii="Georgia" w:cs="Georgia" w:eastAsia="Georgia" w:hAnsi="Georgia"/>
          <w:color w:val="2A1410"/>
          <w:sz w:val="24"/>
          <w:szCs w:val="24"/>
        </w:rPr>
        <w:t xml:space="preserve">Using temperance’s three causes, argue that no reform movement is pure — that even a movement to help people can carry prejudice and economic self-interest inside it.</w:t>
      </w:r>
    </w:p>
    <w:p>
      <w:pPr>
        <w:pBdr>
          <w:bottom w:val="single" w:color="C08552" w:sz="4" w:space="4"/>
        </w:pBdr>
        <w:spacing w:after="140" w:before="300"/>
      </w:pPr>
      <w:r>
        <w:rPr>
          <w:rFonts w:ascii="Georgia" w:cs="Georgia" w:eastAsia="Georgia" w:hAnsi="Georgia"/>
          <w:b/>
          <w:bCs/>
          <w:color w:val="4A2222"/>
          <w:sz w:val="29"/>
          <w:szCs w:val="29"/>
        </w:rPr>
        <w:t xml:space="preserve">Where This Connects</w:t>
      </w:r>
    </w:p>
    <w:p>
      <w:pPr>
        <w:pStyle w:val="ListParagraph"/>
        <w:numPr>
          <w:ilvl w:val="0"/>
          <w:numId w:val="2"/>
        </w:numPr>
        <w:spacing w:after="130" w:line="288"/>
      </w:pPr>
      <w:r>
        <w:rPr>
          <w:rFonts w:ascii="Georgia" w:cs="Georgia" w:eastAsia="Georgia" w:hAnsi="Georgia"/>
          <w:b/>
          <w:bCs/>
          <w:color w:val="2A1410"/>
          <w:sz w:val="24"/>
          <w:szCs w:val="24"/>
        </w:rPr>
        <w:t xml:space="preserve">Back to Track A:  </w:t>
      </w:r>
      <w:r>
        <w:rPr>
          <w:rFonts w:ascii="Georgia" w:cs="Georgia" w:eastAsia="Georgia" w:hAnsi="Georgia"/>
          <w:color w:val="2A1410"/>
          <w:sz w:val="24"/>
          <w:szCs w:val="24"/>
        </w:rPr>
        <w:t xml:space="preserve">the immigration bridge (nativism); the Second Great Awakening (Beecher, reform-as-duty).</w:t>
      </w:r>
    </w:p>
    <w:p>
      <w:pPr>
        <w:pStyle w:val="ListParagraph"/>
        <w:numPr>
          <w:ilvl w:val="0"/>
          <w:numId w:val="2"/>
        </w:numPr>
        <w:spacing w:after="130" w:line="288"/>
      </w:pPr>
      <w:r>
        <w:rPr>
          <w:rFonts w:ascii="Georgia" w:cs="Georgia" w:eastAsia="Georgia" w:hAnsi="Georgia"/>
          <w:b/>
          <w:bCs/>
          <w:color w:val="2A1410"/>
          <w:sz w:val="24"/>
          <w:szCs w:val="24"/>
        </w:rPr>
        <w:t xml:space="preserve">Next:  </w:t>
      </w:r>
      <w:r>
        <w:rPr>
          <w:rFonts w:ascii="Georgia" w:cs="Georgia" w:eastAsia="Georgia" w:hAnsi="Georgia"/>
          <w:color w:val="2A1410"/>
          <w:sz w:val="24"/>
          <w:szCs w:val="24"/>
        </w:rPr>
        <w:t xml:space="preserve">part 2 — how temperance went national, and then stalled.</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20"/>
      <w:jc w:val="center"/>
    </w:pPr>
    <w:hyperlink r:id="rIdHubReturn" w:history="1">
      <w:r>
        <w:rPr>
          <w:rFonts w:ascii="Georgia" w:cs="Georgia" w:eastAsia="Georgia" w:hAnsi="Georgia"/>
          <w:color w:val="4A2222"/>
          <w:sz w:val="18"/>
          <w:szCs w:val="18"/>
          <w:u w:val="single"/>
        </w:rPr>
        <w:t xml:space="preserve">↩  Return to the Hub</w:t>
      </w:r>
    </w:hyperlink>
  </w:p>
  <w:p>
    <w:pPr>
      <w:pBdr>
        <w:top w:val="single" w:color="C08552" w:sz="4" w:space="6"/>
      </w:pBdr>
      <w:tabs>
        <w:tab w:val="right" w:pos="9360"/>
      </w:tabs>
    </w:pPr>
    <w:r>
      <w:rPr>
        <w:rFonts w:ascii="Georgia" w:cs="Georgia" w:eastAsia="Georgia" w:hAnsi="Georgia"/>
        <w:color w:val="5C2C2C"/>
        <w:sz w:val="18"/>
        <w:szCs w:val="18"/>
      </w:rPr>
      <w:t xml:space="preserve">The People’s Share  ·  thepeoplesshare.org  ·  2026</w:t>
    </w:r>
    <w:r>
      <w:rPr>
        <w:sz w:val="18"/>
        <w:szCs w:val="18"/>
      </w:rPr>
      <w:t xml:space="preserve">	</w:t>
    </w:r>
    <w:r>
      <w:rPr>
        <w:rFonts w:ascii="Georgia" w:cs="Georgia" w:eastAsia="Georgia" w:hAnsi="Georgia"/>
        <w:color w:val="5C2C2C"/>
        <w:sz w:val="18"/>
        <w:szCs w:val="18"/>
      </w:rPr>
      <w:t xml:space="preserve">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80"/>
      </w:pPr>
      <w:rPr>
        <w:color w:val="C08552"/>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2A1410"/>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Relationship Id="rIdHubReturn" Type="http://schemas.openxmlformats.org/officeDocument/2006/relationships/hyperlink" Target="https://thepeoplesshare.org/summer/summer-track-b.html" TargetMode="Externa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2026-06-15T20:36:16.791Z</dcterms:created>
  <dcterms:modified xsi:type="dcterms:W3CDTF">2026-06-15T20:36:16.791Z</dcterms:modified>
</cp:coreProperties>
</file>

<file path=docProps/custom.xml><?xml version="1.0" encoding="utf-8"?>
<Properties xmlns="http://schemas.openxmlformats.org/officeDocument/2006/custom-properties" xmlns:vt="http://schemas.openxmlformats.org/officeDocument/2006/docPropsVTypes"/>
</file>