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320"/>
        <w:jc w:val="center"/>
      </w:pPr>
      <w:r>
        <w:rPr>
          <w:rFonts w:ascii="Georgia" w:cs="Georgia" w:eastAsia="Georgia" w:hAnsi="Georgia"/>
          <w:b/>
          <w:bCs/>
          <w:color w:val="4A2222"/>
          <w:sz w:val="40"/>
          <w:szCs w:val="40"/>
        </w:rPr>
        <w:t xml:space="preserve">Plessy v. Ferguson</w:t>
      </w:r>
    </w:p>
    <w:p>
      <w:pPr>
        <w:spacing w:after="60"/>
        <w:jc w:val="center"/>
      </w:pPr>
      <w:r>
        <w:rPr>
          <w:rFonts w:ascii="Georgia" w:cs="Georgia" w:eastAsia="Georgia" w:hAnsi="Georgia"/>
          <w:i/>
          <w:iCs/>
          <w:color w:val="C08552"/>
          <w:sz w:val="26"/>
          <w:szCs w:val="26"/>
        </w:rPr>
        <w:t xml:space="preserve">The Annotated Khan Course · Track B</w:t>
      </w:r>
    </w:p>
    <w:p>
      <w:pPr>
        <w:spacing w:after="220"/>
        <w:jc w:val="center"/>
      </w:pPr>
      <w:r>
        <w:rPr>
          <w:rFonts w:ascii="Georgia" w:cs="Georgia" w:eastAsia="Georgia" w:hAnsi="Georgia"/>
          <w:color w:val="5C2C2C"/>
          <w:sz w:val="19"/>
          <w:szCs w:val="19"/>
        </w:rPr>
        <w:t xml:space="preserve">U.S. History · Period 5 (1844–1877) · Step 30 of 31 · about 18½ minutes</w:t>
      </w:r>
    </w:p>
    <w:p>
      <w:pPr>
        <w:pBdr>
          <w:bottom w:val="single" w:color="C08552" w:sz="8" w:space="1"/>
        </w:pBdr>
        <w:spacing w:after="200" w:before="60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/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How to Read This</w:t>
      </w:r>
    </w:p>
    <w:p>
      <w:pPr>
        <w:spacing w:after="16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These notes are a companion, not a replacement. Watch the actual video on Khan Academy, keep this page open beside it, and pause at each timecode to read the note. Nothing here is graded — the questions and the writing prompt are yours to use however helps you think.</w:t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What This Video Does</w:t>
      </w:r>
    </w:p>
    <w:p>
      <w:pPr>
        <w:spacing w:after="16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Kim and two legal scholars walk through the 1896 case that gave segregation the Supreme Court’s blessing for nearly sixty years — how a deliberate test case became “separate but equal,” what Harlan’s lone dissent actually said (and didn’t), and the line at its center: the Civil War ended slavery, but it did not end racism.</w:t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In the Margins</w:t>
      </w:r>
    </w:p>
    <w:p>
      <w:pPr>
        <w:pBdr>
          <w:left w:val="single" w:color="C08552" w:sz="20" w:space="18"/>
        </w:pBdr>
        <w:shd w:fill="F6F0E2" w:val="clear"/>
        <w:spacing w:after="150" w:before="90" w:line="288"/>
        <w:ind w:left="360" w:right="140"/>
      </w:pPr>
      <w:r>
        <w:rPr>
          <w:rFonts w:ascii="Georgia" w:cs="Georgia" w:eastAsia="Georgia" w:hAnsi="Georgia"/>
          <w:b/>
          <w:bCs/>
          <w:color w:val="4A2222"/>
          <w:sz w:val="23"/>
          <w:szCs w:val="23"/>
        </w:rPr>
        <w:t xml:space="preserve">0:56  ·  </w:t>
      </w:r>
      <w:r>
        <w:rPr>
          <w:rFonts w:ascii="Georgia" w:cs="Georgia" w:eastAsia="Georgia" w:hAnsi="Georgia"/>
          <w:b/>
          <w:bCs/>
          <w:color w:val="5C2C2C"/>
          <w:sz w:val="23"/>
          <w:szCs w:val="23"/>
        </w:rPr>
        <w:t xml:space="preserve">Slavery ended; the Black Codes began.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Greene sets the stage: the 13th ended slavery, but Southern states immediately passed laws barring the freed people from contracts, property, juries, the vote — even forcing them into labor. “Ways of essentially reinstituting the institution of slavery.” Emancipation and equality were never the same thing.</w:t>
      </w:r>
    </w:p>
    <w:p>
      <w:pPr>
        <w:pBdr>
          <w:left w:val="single" w:color="C08552" w:sz="20" w:space="18"/>
        </w:pBdr>
        <w:shd w:fill="F6F0E2" w:val="clear"/>
        <w:spacing w:after="150" w:before="90" w:line="288"/>
        <w:ind w:left="360" w:right="140"/>
      </w:pPr>
      <w:r>
        <w:rPr>
          <w:rFonts w:ascii="Georgia" w:cs="Georgia" w:eastAsia="Georgia" w:hAnsi="Georgia"/>
          <w:b/>
          <w:bCs/>
          <w:color w:val="4A2222"/>
          <w:sz w:val="23"/>
          <w:szCs w:val="23"/>
        </w:rPr>
        <w:t xml:space="preserve">4:40  ·  </w:t>
      </w:r>
      <w:r>
        <w:rPr>
          <w:rFonts w:ascii="Georgia" w:cs="Georgia" w:eastAsia="Georgia" w:hAnsi="Georgia"/>
          <w:b/>
          <w:bCs/>
          <w:color w:val="5C2C2C"/>
          <w:sz w:val="23"/>
          <w:szCs w:val="23"/>
        </w:rPr>
        <w:t xml:space="preserve">“The Civil War did not end racism. It simply ended slavery.”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Greene’s line is the hinge of the whole case, and worth carrying out of this period entirely. Slavery was a </w:t>
      </w:r>
      <w:r>
        <w:rPr>
          <w:rFonts w:ascii="Georgia" w:cs="Georgia" w:eastAsia="Georgia" w:hAnsi="Georgia"/>
          <w:b/>
          <w:bCs/>
          <w:color w:val="2A1410"/>
          <w:sz w:val="24"/>
          <w:szCs w:val="24"/>
        </w:rPr>
        <w:t xml:space="preserve">system of racial hierarchy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, not just of labor — and when the labor system fell, the commitment to hierarchy remained, North and South. Ending an institution is not the same as ending the belief that built it.</w:t>
      </w:r>
    </w:p>
    <w:p>
      <w:pPr>
        <w:pBdr>
          <w:left w:val="single" w:color="C08552" w:sz="20" w:space="18"/>
        </w:pBdr>
        <w:shd w:fill="F6F0E2" w:val="clear"/>
        <w:spacing w:after="150" w:before="90" w:line="288"/>
        <w:ind w:left="360" w:right="140"/>
      </w:pPr>
      <w:r>
        <w:rPr>
          <w:rFonts w:ascii="Georgia" w:cs="Georgia" w:eastAsia="Georgia" w:hAnsi="Georgia"/>
          <w:b/>
          <w:bCs/>
          <w:color w:val="4A2222"/>
          <w:sz w:val="23"/>
          <w:szCs w:val="23"/>
        </w:rPr>
        <w:t xml:space="preserve">7:49  ·  </w:t>
      </w:r>
      <w:r>
        <w:rPr>
          <w:rFonts w:ascii="Georgia" w:cs="Georgia" w:eastAsia="Georgia" w:hAnsi="Georgia"/>
          <w:b/>
          <w:bCs/>
          <w:color w:val="5C2C2C"/>
          <w:sz w:val="23"/>
          <w:szCs w:val="23"/>
        </w:rPr>
        <w:t xml:space="preserve">A test case, staged with the railroad.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The detail that complicates the heroism: Plessy boarded the white car by arrangement, and the railroad was </w:t>
      </w:r>
      <w:r>
        <w:rPr>
          <w:rFonts w:ascii="Georgia" w:cs="Georgia" w:eastAsia="Georgia" w:hAnsi="Georgia"/>
          <w:i/>
          <w:iCs/>
          <w:color w:val="2A1410"/>
          <w:sz w:val="24"/>
          <w:szCs w:val="24"/>
        </w:rPr>
        <w:t xml:space="preserve">in on it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 — it resented the law because conductors faced fines and liability. So a civil-rights challenge and a corporation’s annoyance briefly pulled the same direction. Read who allies with justice, and why; the motives are rarely pure.</w:t>
      </w:r>
    </w:p>
    <w:p>
      <w:pPr>
        <w:pBdr>
          <w:left w:val="single" w:color="C08552" w:sz="20" w:space="18"/>
        </w:pBdr>
        <w:shd w:fill="F6F0E2" w:val="clear"/>
        <w:spacing w:after="150" w:before="90" w:line="288"/>
        <w:ind w:left="360" w:right="140"/>
      </w:pPr>
      <w:r>
        <w:rPr>
          <w:rFonts w:ascii="Georgia" w:cs="Georgia" w:eastAsia="Georgia" w:hAnsi="Georgia"/>
          <w:b/>
          <w:bCs/>
          <w:color w:val="4A2222"/>
          <w:sz w:val="23"/>
          <w:szCs w:val="23"/>
        </w:rPr>
        <w:t xml:space="preserve">10:58  ·  </w:t>
      </w:r>
      <w:r>
        <w:rPr>
          <w:rFonts w:ascii="Georgia" w:cs="Georgia" w:eastAsia="Georgia" w:hAnsi="Georgia"/>
          <w:b/>
          <w:bCs/>
          <w:color w:val="5C2C2C"/>
          <w:sz w:val="23"/>
          <w:szCs w:val="23"/>
        </w:rPr>
        <w:t xml:space="preserve">Seven to one for “separate but equal.”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The Court rules the Separate Car Act constitutional: a state may segregate so long as facilities are “equal.” Maltz’s framing matters — the majority treated public accommodation as essentially </w:t>
      </w:r>
      <w:r>
        <w:rPr>
          <w:rFonts w:ascii="Georgia" w:cs="Georgia" w:eastAsia="Georgia" w:hAnsi="Georgia"/>
          <w:i/>
          <w:iCs/>
          <w:color w:val="2A1410"/>
          <w:sz w:val="24"/>
          <w:szCs w:val="24"/>
        </w:rPr>
        <w:t xml:space="preserve">private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, not a civil right the 14th Amendment reached. A narrow reading became a national cage.</w:t>
      </w:r>
    </w:p>
    <w:p>
      <w:pPr>
        <w:pBdr>
          <w:left w:val="single" w:color="C08552" w:sz="20" w:space="18"/>
        </w:pBdr>
        <w:shd w:fill="F6F0E2" w:val="clear"/>
        <w:spacing w:after="150" w:before="90" w:line="288"/>
        <w:ind w:left="360" w:right="140"/>
      </w:pPr>
      <w:r>
        <w:rPr>
          <w:rFonts w:ascii="Georgia" w:cs="Georgia" w:eastAsia="Georgia" w:hAnsi="Georgia"/>
          <w:b/>
          <w:bCs/>
          <w:color w:val="4A2222"/>
          <w:sz w:val="23"/>
          <w:szCs w:val="23"/>
        </w:rPr>
        <w:t xml:space="preserve">11:35  ·  </w:t>
      </w:r>
      <w:r>
        <w:rPr>
          <w:rFonts w:ascii="Georgia" w:cs="Georgia" w:eastAsia="Georgia" w:hAnsi="Georgia"/>
          <w:b/>
          <w:bCs/>
          <w:color w:val="5C2C2C"/>
          <w:sz w:val="23"/>
          <w:szCs w:val="23"/>
        </w:rPr>
        <w:t xml:space="preserve">What Harlan actually said.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The honest nuance: Harlan’s famous line is that the Constitution “is colorblind” — but Maltz notes Harlan meant it about </w:t>
      </w:r>
      <w:r>
        <w:rPr>
          <w:rFonts w:ascii="Georgia" w:cs="Georgia" w:eastAsia="Georgia" w:hAnsi="Georgia"/>
          <w:i/>
          <w:iCs/>
          <w:color w:val="2A1410"/>
          <w:sz w:val="24"/>
          <w:szCs w:val="24"/>
        </w:rPr>
        <w:t xml:space="preserve">civil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 rights, and would have upheld segregated schools and anti-miscegenation laws. Don’t flatten him into a modern hero. What he got piercingly right was the </w:t>
      </w:r>
      <w:r>
        <w:rPr>
          <w:rFonts w:ascii="Georgia" w:cs="Georgia" w:eastAsia="Georgia" w:hAnsi="Georgia"/>
          <w:i/>
          <w:iCs/>
          <w:color w:val="2A1410"/>
          <w:sz w:val="24"/>
          <w:szCs w:val="24"/>
        </w:rPr>
        <w:t xml:space="preserve">purpose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 of segregation, named next.</w:t>
      </w:r>
    </w:p>
    <w:p>
      <w:pPr>
        <w:pBdr>
          <w:left w:val="single" w:color="C08552" w:sz="20" w:space="18"/>
        </w:pBdr>
        <w:shd w:fill="F6F0E2" w:val="clear"/>
        <w:spacing w:after="150" w:before="90" w:line="288"/>
        <w:ind w:left="360" w:right="140"/>
      </w:pPr>
      <w:r>
        <w:rPr>
          <w:rFonts w:ascii="Georgia" w:cs="Georgia" w:eastAsia="Georgia" w:hAnsi="Georgia"/>
          <w:b/>
          <w:bCs/>
          <w:color w:val="4A2222"/>
          <w:sz w:val="23"/>
          <w:szCs w:val="23"/>
        </w:rPr>
        <w:t xml:space="preserve">15:41  ·  </w:t>
      </w:r>
      <w:r>
        <w:rPr>
          <w:rFonts w:ascii="Georgia" w:cs="Georgia" w:eastAsia="Georgia" w:hAnsi="Georgia"/>
          <w:b/>
          <w:bCs/>
          <w:color w:val="5C2C2C"/>
          <w:sz w:val="23"/>
          <w:szCs w:val="23"/>
        </w:rPr>
        <w:t xml:space="preserve">Harlan saw the real purpose.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Harlan wrote that separating the cars was not for anyone’s comfort but to mark Black Americans as inferior — “and everyone knew that’s what Jim Crow was all about.” The “separate but equal” formula was a polite fiction over a system designed to degrade. </w:t>
      </w:r>
      <w:r>
        <w:rPr>
          <w:rFonts w:ascii="Georgia" w:cs="Georgia" w:eastAsia="Georgia" w:hAnsi="Georgia"/>
          <w:b/>
          <w:bCs/>
          <w:color w:val="2A1410"/>
          <w:sz w:val="24"/>
          <w:szCs w:val="24"/>
        </w:rPr>
        <w:t xml:space="preserve">Naming the real purpose is the dissent’s enduring power.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/>
      </w:r>
    </w:p>
    <w:p>
      <w:pPr>
        <w:pBdr>
          <w:left w:val="single" w:color="C08552" w:sz="20" w:space="18"/>
        </w:pBdr>
        <w:shd w:fill="F6F0E2" w:val="clear"/>
        <w:spacing w:after="150" w:before="90" w:line="288"/>
        <w:ind w:left="360" w:right="140"/>
      </w:pPr>
      <w:r>
        <w:rPr>
          <w:rFonts w:ascii="Georgia" w:cs="Georgia" w:eastAsia="Georgia" w:hAnsi="Georgia"/>
          <w:b/>
          <w:bCs/>
          <w:color w:val="4A2222"/>
          <w:sz w:val="23"/>
          <w:szCs w:val="23"/>
        </w:rPr>
        <w:t xml:space="preserve">17:44  ·  </w:t>
      </w:r>
      <w:r>
        <w:rPr>
          <w:rFonts w:ascii="Georgia" w:cs="Georgia" w:eastAsia="Georgia" w:hAnsi="Georgia"/>
          <w:b/>
          <w:bCs/>
          <w:color w:val="5C2C2C"/>
          <w:sz w:val="23"/>
          <w:szCs w:val="23"/>
        </w:rPr>
        <w:t xml:space="preserve">Sixty years, and the road to Brown.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The Court had never admitted reversing itself; </w:t>
      </w:r>
      <w:r>
        <w:rPr>
          <w:rFonts w:ascii="Georgia" w:cs="Georgia" w:eastAsia="Georgia" w:hAnsi="Georgia"/>
          <w:i/>
          <w:iCs/>
          <w:color w:val="2A1410"/>
          <w:sz w:val="24"/>
          <w:szCs w:val="24"/>
        </w:rPr>
        <w:t xml:space="preserve">Plessy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 stood until </w:t>
      </w:r>
      <w:r>
        <w:rPr>
          <w:rFonts w:ascii="Georgia" w:cs="Georgia" w:eastAsia="Georgia" w:hAnsi="Georgia"/>
          <w:i/>
          <w:iCs/>
          <w:color w:val="2A1410"/>
          <w:sz w:val="24"/>
          <w:szCs w:val="24"/>
        </w:rPr>
        <w:t xml:space="preserve">Brown v. Board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 in 1954. For nearly six decades, segregation carried “the blessing of the Supreme Court.” A single wrong ruling can shape the lives of generations before it’s undone.</w:t>
      </w:r>
    </w:p>
    <w:p>
      <w:pPr>
        <w:pBdr>
          <w:bottom w:val="single" w:color="C08552" w:sz="8" w:space="1"/>
        </w:pBdr>
        <w:spacing w:after="200" w:before="60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/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After You Watch — Questions to Sit With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“The Civil War did not end racism. It simply ended slavery.” What is the difference between ending an institution and ending the belief that sustained it — and why does the second take so much longer?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Plessy was a staged test case the railroad quietly supported for its own reasons. What does it tell you that the fight for justice sometimes shares a side with self-interest?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Harlan’s dissent was right about segregation’s purpose but limited in its vision of equality. How do you honor what someone got right without erasing what they got wrong?</w:t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An Invitation to Write</w:t>
      </w:r>
    </w:p>
    <w:p>
      <w:pPr>
        <w:pBdr>
          <w:left w:val="single" w:color="6E7E66" w:sz="20" w:space="18"/>
        </w:pBdr>
        <w:spacing w:after="160" w:before="90" w:line="300"/>
        <w:ind w:left="360" w:right="140"/>
      </w:pPr>
      <w:r>
        <w:rPr>
          <w:rFonts w:ascii="Georgia" w:cs="Georgia" w:eastAsia="Georgia" w:hAnsi="Georgia"/>
          <w:b/>
          <w:bCs/>
          <w:i/>
          <w:iCs/>
          <w:color w:val="5C2C2C"/>
          <w:sz w:val="24"/>
          <w:szCs w:val="24"/>
        </w:rPr>
        <w:t xml:space="preserve">Ending an institution is not the same as ending the belief that built it.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“Separate but equal” was a polite phrase laid over a system designed to degrade. Write about a euphemism — in politics, work, or daily life — that dresses up something harsher than it sounds. What does the nice phrasing hide, and who does the hiding serve?</w:t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Where This Connects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Harlan’s dissent is the Track A core text closing </w:t>
      </w:r>
      <w:r>
        <w:rPr>
          <w:rFonts w:ascii="Georgia" w:cs="Georgia" w:eastAsia="Georgia" w:hAnsi="Georgia"/>
          <w:b/>
          <w:bCs/>
          <w:color w:val="2A1410"/>
          <w:sz w:val="24"/>
          <w:szCs w:val="24"/>
        </w:rPr>
        <w:t xml:space="preserve">Movement Five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 — read this companion beside it. The case also carries straight into Period 6’s Jim Crow order.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Next: the historian’s step back — how to weigh what the whole war changed.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20"/>
      <w:jc w:val="center"/>
    </w:pPr>
    <w:hyperlink r:id="rIdHubReturn" w:history="1">
      <w:r>
        <w:rPr>
          <w:rFonts w:ascii="Georgia" w:cs="Georgia" w:eastAsia="Georgia" w:hAnsi="Georgia"/>
          <w:color w:val="4A2222"/>
          <w:sz w:val="18"/>
          <w:szCs w:val="18"/>
          <w:u w:val="single"/>
        </w:rPr>
        <w:t xml:space="preserve">↩  Return to the Hub</w:t>
      </w:r>
    </w:hyperlink>
  </w:p>
  <w:p>
    <w:pPr>
      <w:pBdr>
        <w:top w:val="single" w:color="C08552" w:sz="4" w:space="6"/>
      </w:pBdr>
      <w:tabs>
        <w:tab w:val="right" w:pos="9360"/>
      </w:tabs>
      <w:spacing w:before="80"/>
    </w:pPr>
    <w:r>
      <w:rPr>
        <w:rFonts w:ascii="Georgia" w:cs="Georgia" w:eastAsia="Georgia" w:hAnsi="Georgia"/>
        <w:color w:val="5C2C2C"/>
        <w:sz w:val="18"/>
        <w:szCs w:val="18"/>
      </w:rPr>
      <w:t xml:space="preserve">The People’s Share  ·  thepeoplesshare.org  ·  2026</w:t>
    </w:r>
    <w:r>
      <w:rPr>
        <w:rFonts w:ascii="Georgia" w:cs="Georgia" w:eastAsia="Georgia" w:hAnsi="Georgia"/>
        <w:sz w:val="18"/>
        <w:szCs w:val="18"/>
      </w:rPr>
      <w:t xml:space="preserve">	</w:t>
    </w:r>
    <w:r>
      <w:rPr>
        <w:rFonts w:ascii="Georgia" w:cs="Georgia" w:eastAsia="Georgia" w:hAnsi="Georgia"/>
        <w:color w:val="5C2C2C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><Relationship Id="rIdHubReturn" Type="http://schemas.openxmlformats.org/officeDocument/2006/relationships/hyperlink" Target="https://thepeoplesshare.org/summer/summer-track-b.html" TargetMode="External"/></Relationships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2026-06-28T11:45:50.838Z</dcterms:created>
  <dcterms:modified xsi:type="dcterms:W3CDTF">2026-06-28T11:45:50.838Z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