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Rise of Industrial Capitalism</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6 (1865–1898) · Step 10 of 19 · a bridge reading</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This is the AP lesson with no video, and it’s the engine room of the whole period. You’ve met the robber barons (Part 1) and their technologies (the last bridge). This reading explains the thing they actually invented that mattered most — not steel or oil, but a new way to organize a business so large it could swallow its rivals, set its own prices, and rival the government itself.</w:t>
      </w:r>
    </w:p>
    <w:p>
      <w:pPr>
        <w:pBdr>
          <w:bottom w:val="single" w:color="C08552" w:sz="4" w:space="4"/>
        </w:pBdr>
        <w:spacing w:after="140" w:before="300"/>
      </w:pPr>
      <w:r>
        <w:rPr>
          <w:rFonts w:ascii="Georgia" w:cs="Georgia" w:eastAsia="Georgia" w:hAnsi="Georgia"/>
          <w:b/>
          <w:bCs/>
          <w:color w:val="4A2222"/>
          <w:sz w:val="29"/>
          <w:szCs w:val="29"/>
        </w:rPr>
        <w:t xml:space="preserve">From Competition to Consolidation</w:t>
      </w:r>
    </w:p>
    <w:p>
      <w:pPr>
        <w:spacing w:after="160" w:line="288"/>
      </w:pPr>
      <w:r>
        <w:rPr>
          <w:rFonts w:ascii="Georgia" w:cs="Georgia" w:eastAsia="Georgia" w:hAnsi="Georgia"/>
          <w:color w:val="2A1410"/>
          <w:sz w:val="24"/>
          <w:szCs w:val="24"/>
        </w:rPr>
        <w:t xml:space="preserve">Early capitalism was supposed to mean many small firms competing. Gilded Age capitalism was about ending that competition. The goal of a Carnegie or a Rockefeller was not to compete forever but to win — to grow so large and so efficient that no rival could survive, then to absorb or crush the ones who tried.</w:t>
      </w:r>
    </w:p>
    <w:p>
      <w:pPr>
        <w:spacing w:after="160" w:line="288"/>
      </w:pPr>
      <w:r>
        <w:rPr>
          <w:rFonts w:ascii="Georgia" w:cs="Georgia" w:eastAsia="Georgia" w:hAnsi="Georgia"/>
          <w:color w:val="2A1410"/>
          <w:sz w:val="24"/>
          <w:szCs w:val="24"/>
        </w:rPr>
        <w:t xml:space="preserve">They did it through two strategies worth knowing by name. Vertical integration (Carnegie’s method) meant owning every step of production — the mines, the ore ships, the railroads, the mills — so no supplier could squeeze you. Horizontal integration (Rockefeller’s method) meant buying up or destroying all your competitors until you controlled an entire market. Rockefeller’s Standard Oil came to control roughly 90% of American oil refining.</w:t>
      </w:r>
    </w:p>
    <w:p>
      <w:pPr>
        <w:pBdr>
          <w:bottom w:val="single" w:color="C08552" w:sz="4" w:space="4"/>
        </w:pBdr>
        <w:spacing w:after="140" w:before="300"/>
      </w:pPr>
      <w:r>
        <w:rPr>
          <w:rFonts w:ascii="Georgia" w:cs="Georgia" w:eastAsia="Georgia" w:hAnsi="Georgia"/>
          <w:b/>
          <w:bCs/>
          <w:color w:val="4A2222"/>
          <w:sz w:val="29"/>
          <w:szCs w:val="29"/>
        </w:rPr>
        <w:t xml:space="preserve">The Trust and the Monopoly</w:t>
      </w:r>
    </w:p>
    <w:p>
      <w:pPr>
        <w:spacing w:after="160" w:line="288"/>
      </w:pPr>
      <w:r>
        <w:rPr>
          <w:rFonts w:ascii="Georgia" w:cs="Georgia" w:eastAsia="Georgia" w:hAnsi="Georgia"/>
          <w:color w:val="2A1410"/>
          <w:sz w:val="24"/>
          <w:szCs w:val="24"/>
        </w:rPr>
        <w:t xml:space="preserve">To manage empires this size — and to dodge the laws against monopoly — financiers invented new legal forms: the trust and the holding company. A trust let a small group of men legally control dozens of nominally separate companies as one. By the 1890s, trusts dominated oil, steel, sugar, beef, and tobacco. In 1901, J.P. Morgan combined Carnegie’s steelworks and others into U.S. Steel — the first billion-dollar corporation in history.</w:t>
      </w:r>
    </w:p>
    <w:p>
      <w:pPr>
        <w:spacing w:after="160" w:line="288"/>
      </w:pPr>
      <w:r>
        <w:rPr>
          <w:rFonts w:ascii="Georgia" w:cs="Georgia" w:eastAsia="Georgia" w:hAnsi="Georgia"/>
          <w:color w:val="2A1410"/>
          <w:sz w:val="24"/>
          <w:szCs w:val="24"/>
        </w:rPr>
        <w:t xml:space="preserve">Congress passed the Sherman Antitrust Act in 1890 to fight this. For years it was used more often against labor unions than against the trusts it was written to break. The law on the books and the law in practice were two different things — a Gilded Age specialty you’ve already met with the 14th Amendment.</w:t>
      </w:r>
    </w:p>
    <w:p>
      <w:pPr>
        <w:pBdr>
          <w:bottom w:val="single" w:color="C08552" w:sz="4" w:space="4"/>
        </w:pBdr>
        <w:spacing w:after="140" w:before="300"/>
      </w:pPr>
      <w:r>
        <w:rPr>
          <w:rFonts w:ascii="Georgia" w:cs="Georgia" w:eastAsia="Georgia" w:hAnsi="Georgia"/>
          <w:b/>
          <w:bCs/>
          <w:color w:val="4A2222"/>
          <w:sz w:val="29"/>
          <w:szCs w:val="29"/>
        </w:rPr>
        <w:t xml:space="preserve">The Story They Told About It</w:t>
      </w:r>
    </w:p>
    <w:p>
      <w:pPr>
        <w:spacing w:after="160" w:line="288"/>
      </w:pPr>
      <w:r>
        <w:rPr>
          <w:rFonts w:ascii="Georgia" w:cs="Georgia" w:eastAsia="Georgia" w:hAnsi="Georgia"/>
          <w:color w:val="2A1410"/>
          <w:sz w:val="24"/>
          <w:szCs w:val="24"/>
        </w:rPr>
        <w:t xml:space="preserve">Why was this allowed? Partly because the barons told a powerful story. Drawing on Social Darwinism (Steps 15–16), they argued their dominance was natural — “survival of the fittest” applied to business, so the winners deserved to win and the poor deserved to lose. Carnegie’s “Gospel of Wealth” added a gentler version: the rich were merely stewards who would give their fortunes back through libraries and universities.</w:t>
      </w:r>
    </w:p>
    <w:p>
      <w:pPr>
        <w:spacing w:after="160" w:line="288"/>
      </w:pPr>
      <w:r>
        <w:rPr>
          <w:rFonts w:ascii="Georgia" w:cs="Georgia" w:eastAsia="Georgia" w:hAnsi="Georgia"/>
          <w:color w:val="2A1410"/>
          <w:sz w:val="24"/>
          <w:szCs w:val="24"/>
        </w:rPr>
        <w:t xml:space="preserve">Hold both the story and the reality. The same men who called their monopolies “natural law” had spent decades using railroad rebates, price-fixing, and political bribery to build them. The fittest, it turned out, were mostly the ones who had rigged the race.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Vertical and horizontal integration were both strategies for ending competition, not winning it fairly. What does that tell you about how the “free market” actually worked in the Gilded Age?</w:t>
      </w:r>
    </w:p>
    <w:p>
      <w:pPr>
        <w:pStyle w:val="ListParagraph"/>
        <w:numPr>
          <w:ilvl w:val="0"/>
          <w:numId w:val="2"/>
        </w:numPr>
        <w:spacing w:after="130" w:line="288"/>
      </w:pPr>
      <w:r>
        <w:rPr>
          <w:rFonts w:ascii="Georgia" w:cs="Georgia" w:eastAsia="Georgia" w:hAnsi="Georgia"/>
          <w:color w:val="2A1410"/>
          <w:sz w:val="24"/>
          <w:szCs w:val="24"/>
        </w:rPr>
        <w:t xml:space="preserve">The Sherman Antitrust Act was used more against unions than against trusts. How does a law come to do the opposite of what it was written to do?</w:t>
      </w:r>
    </w:p>
    <w:p>
      <w:pPr>
        <w:pStyle w:val="ListParagraph"/>
        <w:numPr>
          <w:ilvl w:val="0"/>
          <w:numId w:val="2"/>
        </w:numPr>
        <w:spacing w:after="130" w:line="288"/>
      </w:pPr>
      <w:r>
        <w:rPr>
          <w:rFonts w:ascii="Georgia" w:cs="Georgia" w:eastAsia="Georgia" w:hAnsi="Georgia"/>
          <w:color w:val="2A1410"/>
          <w:sz w:val="24"/>
          <w:szCs w:val="24"/>
        </w:rPr>
        <w:t xml:space="preserve">Social Darwinism told the winners they deserved to win. Whose interests does a story like that serve — and do you hear versions of it today?</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This is the heart of the period and of this course: the moment a few private owners became powerful enough to rival the state. Every reform movement ahead (Step 18) is a response to what’s described here.</w:t>
      </w:r>
    </w:p>
    <w:p>
      <w:pPr>
        <w:pStyle w:val="ListParagraph"/>
        <w:numPr>
          <w:ilvl w:val="0"/>
          <w:numId w:val="2"/>
        </w:numPr>
        <w:spacing w:after="130" w:line="288"/>
      </w:pPr>
      <w:r>
        <w:rPr>
          <w:rFonts w:ascii="Georgia" w:cs="Georgia" w:eastAsia="Georgia" w:hAnsi="Georgia"/>
          <w:color w:val="2A1410"/>
          <w:sz w:val="24"/>
          <w:szCs w:val="24"/>
        </w:rPr>
        <w:t xml:space="preserve">The “survival of the fittest” defense gets its own two videos at Steps 15–16. Read this bridge first and those will click into place.</w:t>
      </w:r>
    </w:p>
    <w:p>
      <w:pPr>
        <w:pStyle w:val="ListParagraph"/>
        <w:numPr>
          <w:ilvl w:val="0"/>
          <w:numId w:val="2"/>
        </w:numPr>
        <w:spacing w:after="130" w:line="288"/>
      </w:pPr>
      <w:r>
        <w:rPr>
          <w:rFonts w:ascii="Georgia" w:cs="Georgia" w:eastAsia="Georgia" w:hAnsi="Georgia"/>
          <w:color w:val="2A1410"/>
          <w:sz w:val="24"/>
          <w:szCs w:val="24"/>
        </w:rPr>
        <w:t xml:space="preserve">Next: Labor in the Gilded Age — what it was like to work inside these empires, and how workers fought back.</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2026-06-27T16:12:18.003Z</dcterms:created>
  <dcterms:modified xsi:type="dcterms:W3CDTF">2026-06-27T16:12:18.003Z</dcterms:modified>
</cp:coreProperties>
</file>

<file path=docProps/custom.xml><?xml version="1.0" encoding="utf-8"?>
<Properties xmlns="http://schemas.openxmlformats.org/officeDocument/2006/custom-properties" xmlns:vt="http://schemas.openxmlformats.org/officeDocument/2006/docPropsVTypes"/>
</file>