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Labor in the Gilded Age</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6 (1865–1898) · Step 11 of 19 · a bridge reading</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200" w:before="90" w:line="300"/>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There’s no AP video for this lesson, and that silence is almost fitting — labor is the most under-told half of the Gilded Age. You’ve heard about the men who owned the factories. This reading is about the millions who worked in them: how hard it was, how they organized, and why their fight was so much steeper than the owners’.</w:t>
      </w:r>
    </w:p>
    <w:p>
      <w:pPr>
        <w:pBdr>
          <w:bottom w:val="single" w:color="C08552" w:sz="4" w:space="4"/>
        </w:pBdr>
        <w:spacing w:after="140" w:before="300"/>
      </w:pPr>
      <w:r>
        <w:rPr>
          <w:rFonts w:ascii="Georgia" w:cs="Georgia" w:eastAsia="Georgia" w:hAnsi="Georgia"/>
          <w:b/>
          <w:bCs/>
          <w:color w:val="4A2222"/>
          <w:sz w:val="29"/>
          <w:szCs w:val="29"/>
        </w:rPr>
        <w:t xml:space="preserve">The Conditions</w:t>
      </w:r>
    </w:p>
    <w:p>
      <w:pPr>
        <w:spacing w:after="160" w:line="288"/>
      </w:pPr>
      <w:r>
        <w:rPr>
          <w:rFonts w:ascii="Georgia" w:cs="Georgia" w:eastAsia="Georgia" w:hAnsi="Georgia"/>
          <w:color w:val="2A1410"/>
          <w:sz w:val="24"/>
          <w:szCs w:val="24"/>
        </w:rPr>
        <w:t xml:space="preserve">Work in the new industrial economy was long, dangerous, and cheap. Twelve-hour days, six-day weeks, no overtime, no safety law worth the name. American factories had among the highest accident rates in the industrial world; workers were maimed and killed at staggering rates, and an injured worker was simply replaced. Wages were set by the owner and sometimes paid in scrip good only at the company store. Children worked. The de-skilling you met in Part 2 meant any worker could be swapped for another — which kept wages down and workers afraid.</w:t>
      </w:r>
    </w:p>
    <w:p>
      <w:pPr>
        <w:pBdr>
          <w:bottom w:val="single" w:color="C08552" w:sz="4" w:space="4"/>
        </w:pBdr>
        <w:spacing w:after="140" w:before="300"/>
      </w:pPr>
      <w:r>
        <w:rPr>
          <w:rFonts w:ascii="Georgia" w:cs="Georgia" w:eastAsia="Georgia" w:hAnsi="Georgia"/>
          <w:b/>
          <w:bCs/>
          <w:color w:val="4A2222"/>
          <w:sz w:val="29"/>
          <w:szCs w:val="29"/>
        </w:rPr>
        <w:t xml:space="preserve">The Organizing</w:t>
      </w:r>
    </w:p>
    <w:p>
      <w:pPr>
        <w:spacing w:after="160" w:line="288"/>
      </w:pPr>
      <w:r>
        <w:rPr>
          <w:rFonts w:ascii="Georgia" w:cs="Georgia" w:eastAsia="Georgia" w:hAnsi="Georgia"/>
          <w:color w:val="2A1410"/>
          <w:sz w:val="24"/>
          <w:szCs w:val="24"/>
        </w:rPr>
        <w:t xml:space="preserve">Against this, workers built the labor movement. The Knights of Labor, peaking in the 1880s, tried something radical — one big union for all workers regardless of skill, race, or sex, dreaming of a “cooperative commonwealth” in which workers, not bosses, owned the enterprise. After the Haymarket bombing of 1886 was blamed on radicals, the Knights collapsed. In their place rose the American Federation of Labor under Samuel Gompers — narrower and more cautious, organizing mainly skilled white men around “bread and butter” gains: better wages, shorter hours, safer shops.</w:t>
      </w:r>
    </w:p>
    <w:p>
      <w:pPr>
        <w:spacing w:after="160" w:line="288"/>
      </w:pPr>
      <w:r>
        <w:rPr>
          <w:rFonts w:ascii="Georgia" w:cs="Georgia" w:eastAsia="Georgia" w:hAnsi="Georgia"/>
          <w:color w:val="2A1410"/>
          <w:sz w:val="24"/>
          <w:szCs w:val="24"/>
        </w:rPr>
        <w:t xml:space="preserve">Notice the trade-off that shaped American labor for a century. The Knights aimed high and broad and were broken. The AFL aimed low and narrow and survived. The dream of workers owning the workplace — the cooperative commonwealth — was the road not taken.</w:t>
      </w:r>
    </w:p>
    <w:p>
      <w:pPr>
        <w:pBdr>
          <w:bottom w:val="single" w:color="C08552" w:sz="4" w:space="4"/>
        </w:pBdr>
        <w:spacing w:after="140" w:before="300"/>
      </w:pPr>
      <w:r>
        <w:rPr>
          <w:rFonts w:ascii="Georgia" w:cs="Georgia" w:eastAsia="Georgia" w:hAnsi="Georgia"/>
          <w:b/>
          <w:bCs/>
          <w:color w:val="4A2222"/>
          <w:sz w:val="29"/>
          <w:szCs w:val="29"/>
        </w:rPr>
        <w:t xml:space="preserve">The Battles, and the Stacked Deck</w:t>
      </w:r>
    </w:p>
    <w:p>
      <w:pPr>
        <w:spacing w:after="160" w:line="288"/>
      </w:pPr>
      <w:r>
        <w:rPr>
          <w:rFonts w:ascii="Georgia" w:cs="Georgia" w:eastAsia="Georgia" w:hAnsi="Georgia"/>
          <w:color w:val="2A1410"/>
          <w:sz w:val="24"/>
          <w:szCs w:val="24"/>
        </w:rPr>
        <w:t xml:space="preserve">The great strikes of the era show how the fight actually went. The Great Railroad Strike of 1877, the Homestead strike of 1892 against Carnegie’s own steelworks, the Pullman strike of 1894 — each was met with private armies (the Pinkertons), state militias, and finally federal troops. Again and again, the same government that left workers unprotected sent soldiers to protect the owners’ property.</w:t>
      </w:r>
    </w:p>
    <w:p>
      <w:pPr>
        <w:spacing w:after="160" w:line="288"/>
      </w:pPr>
      <w:r>
        <w:rPr>
          <w:rFonts w:ascii="Georgia" w:cs="Georgia" w:eastAsia="Georgia" w:hAnsi="Georgia"/>
          <w:color w:val="2A1410"/>
          <w:sz w:val="24"/>
          <w:szCs w:val="24"/>
        </w:rPr>
        <w:t xml:space="preserve">That’s the deck of the Gilded Age, named plainly. The state stood back from the factory and stepped in for the boss. Workers were fighting not only their employers but the law itself.</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The Knights of Labor wanted workers to own the workplace; the AFL just wanted better wages. The first was crushed, the second survived. What was gained and what was lost in that outcome?</w:t>
      </w:r>
    </w:p>
    <w:p>
      <w:pPr>
        <w:pStyle w:val="ListParagraph"/>
        <w:numPr>
          <w:ilvl w:val="0"/>
          <w:numId w:val="2"/>
        </w:numPr>
        <w:spacing w:after="130" w:line="288"/>
      </w:pPr>
      <w:r>
        <w:rPr>
          <w:rFonts w:ascii="Georgia" w:cs="Georgia" w:eastAsia="Georgia" w:hAnsi="Georgia"/>
          <w:color w:val="2A1410"/>
          <w:sz w:val="24"/>
          <w:szCs w:val="24"/>
        </w:rPr>
        <w:t xml:space="preserve">In strike after strike, federal troops protected the owners’ property, not the workers’ lives. What does the government’s choice of which side to defend reveal about whose interests the state served?</w:t>
      </w:r>
    </w:p>
    <w:p>
      <w:pPr>
        <w:pStyle w:val="ListParagraph"/>
        <w:numPr>
          <w:ilvl w:val="0"/>
          <w:numId w:val="2"/>
        </w:numPr>
        <w:spacing w:after="130" w:line="288"/>
      </w:pPr>
      <w:r>
        <w:rPr>
          <w:rFonts w:ascii="Georgia" w:cs="Georgia" w:eastAsia="Georgia" w:hAnsi="Georgia"/>
          <w:color w:val="2A1410"/>
          <w:sz w:val="24"/>
          <w:szCs w:val="24"/>
        </w:rPr>
        <w:t xml:space="preserve">The “cooperative commonwealth” — workers owning the enterprise together — was a real movement, not a fantasy. Why do you think it’s so rarely taught?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bridge is the human answer to the one before it. Industrial capitalism (Step 10) built the empires; this is what living inside them cost.</w:t>
      </w:r>
    </w:p>
    <w:p>
      <w:pPr>
        <w:pStyle w:val="ListParagraph"/>
        <w:numPr>
          <w:ilvl w:val="0"/>
          <w:numId w:val="2"/>
        </w:numPr>
        <w:spacing w:after="130" w:line="288"/>
      </w:pPr>
      <w:r>
        <w:rPr>
          <w:rFonts w:ascii="Georgia" w:cs="Georgia" w:eastAsia="Georgia" w:hAnsi="Georgia"/>
          <w:color w:val="2A1410"/>
          <w:sz w:val="24"/>
          <w:szCs w:val="24"/>
        </w:rPr>
        <w:t xml:space="preserve">The Knights’ “cooperative commonwealth” is the direct ancestor of everything The People’s Share argues for — worker ownership as an alternative to both the boss and the state. This is where that idea enters the American story.</w:t>
      </w:r>
    </w:p>
    <w:p>
      <w:pPr>
        <w:pStyle w:val="ListParagraph"/>
        <w:numPr>
          <w:ilvl w:val="0"/>
          <w:numId w:val="2"/>
        </w:numPr>
        <w:spacing w:after="130" w:line="288"/>
      </w:pPr>
      <w:r>
        <w:rPr>
          <w:rFonts w:ascii="Georgia" w:cs="Georgia" w:eastAsia="Georgia" w:hAnsi="Georgia"/>
          <w:color w:val="2A1410"/>
          <w:sz w:val="24"/>
          <w:szCs w:val="24"/>
        </w:rPr>
        <w:t xml:space="preserve">Next: the video companion on Immigration and Migration — who the millions of new workers were, and why they came.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2026-06-27T16:12:18.005Z</dcterms:created>
  <dcterms:modified xsi:type="dcterms:W3CDTF">2026-06-27T16:12:18.005Z</dcterms:modified>
</cp:coreProperties>
</file>

<file path=docProps/custom.xml><?xml version="1.0" encoding="utf-8"?>
<Properties xmlns="http://schemas.openxmlformats.org/officeDocument/2006/custom-properties" xmlns:vt="http://schemas.openxmlformats.org/officeDocument/2006/docPropsVTypes"/>
</file>