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Responses to Immigration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13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AP course pairs the immigration video with an article on how Americans reacted — and there’s no video for that half. This reading is the backlash: the nativism, the pseudo-science, and the laws that met the “new immigrants” Khan just introduced. It’s an uncomfortable mirror, because the arguments made then are still made now.</w:t>
      </w:r>
    </w:p>
    <w:p>
      <w:pPr>
        <w:pBdr>
          <w:bottom w:val="single" w:color="C08552" w:sz="4" w:space="4"/>
        </w:pBdr>
        <w:spacing w:after="140" w:before="300"/>
      </w:pPr>
      <w:r>
        <w:rPr>
          <w:rFonts w:ascii="Georgia" w:cs="Georgia" w:eastAsia="Georgia" w:hAnsi="Georgia"/>
          <w:b/>
          <w:bCs/>
          <w:color w:val="4A2222"/>
          <w:sz w:val="29"/>
          <w:szCs w:val="29"/>
        </w:rPr>
        <w:t xml:space="preserve">Nativism: The Old Fear in New Clothes</w:t>
      </w:r>
    </w:p>
    <w:p>
      <w:pPr>
        <w:spacing w:after="160" w:line="288"/>
      </w:pPr>
      <w:r>
        <w:rPr>
          <w:rFonts w:ascii="Georgia" w:cs="Georgia" w:eastAsia="Georgia" w:hAnsi="Georgia"/>
          <w:color w:val="2A1410"/>
          <w:sz w:val="24"/>
          <w:szCs w:val="24"/>
        </w:rPr>
        <w:t xml:space="preserve">As millions of Catholics and Jews from Southern and Eastern Europe arrived, a movement rose to keep them out: nativism — the belief that “real” Americans (white, Protestant, of Northern European descent) were being overwhelmed. Nativists blamed immigrants for crime, disease, radicalism, and falling wages. Groups like the American Protective Association organized against Catholics; some labor leaders joined in, fearing immigrants would undercut wages — a fear employers were happy to encourage, since a divided workforce is a cheap one.</w:t>
      </w:r>
    </w:p>
    <w:p>
      <w:pPr>
        <w:pBdr>
          <w:bottom w:val="single" w:color="C08552" w:sz="4" w:space="4"/>
        </w:pBdr>
        <w:spacing w:after="140" w:before="300"/>
      </w:pPr>
      <w:r>
        <w:rPr>
          <w:rFonts w:ascii="Georgia" w:cs="Georgia" w:eastAsia="Georgia" w:hAnsi="Georgia"/>
          <w:b/>
          <w:bCs/>
          <w:color w:val="4A2222"/>
          <w:sz w:val="29"/>
          <w:szCs w:val="29"/>
        </w:rPr>
        <w:t xml:space="preserve">When Prejudice Becomes Law</w:t>
      </w:r>
    </w:p>
    <w:p>
      <w:pPr>
        <w:spacing w:after="160" w:line="288"/>
      </w:pPr>
      <w:r>
        <w:rPr>
          <w:rFonts w:ascii="Georgia" w:cs="Georgia" w:eastAsia="Georgia" w:hAnsi="Georgia"/>
          <w:color w:val="2A1410"/>
          <w:sz w:val="24"/>
          <w:szCs w:val="24"/>
        </w:rPr>
        <w:t xml:space="preserve">Nativism didn’t stay an attitude; it became policy. The Chinese Exclusion Act of 1882 — which you met in the Westward video — was the first U.S. law to bar an entire nationality, and it stood in some form until 1943. “Americanization” campaigns pressed immigrants to abandon their languages, names, and customs (remember Mary Antin shedding her “impossible Hebrew name”). And the pseudo-science of eugenics gave the prejudice a lab coat, ranking the “new” immigrants as biologically inferior stock — the same Social Darwinism (Steps 15–16) that excused the robber barons, now turned against the poor.</w:t>
      </w:r>
    </w:p>
    <w:p>
      <w:pPr>
        <w:spacing w:after="160" w:line="288"/>
      </w:pPr>
      <w:r>
        <w:rPr>
          <w:rFonts w:ascii="Georgia" w:cs="Georgia" w:eastAsia="Georgia" w:hAnsi="Georgia"/>
          <w:color w:val="2A1410"/>
          <w:sz w:val="24"/>
          <w:szCs w:val="24"/>
        </w:rPr>
        <w:t xml:space="preserve">By the 1920s this current would produce sweeping immigration quotas designed explicitly to favor Northern Europeans. The Gilded Age is where that machinery was first built.</w:t>
      </w:r>
    </w:p>
    <w:p>
      <w:pPr>
        <w:pBdr>
          <w:bottom w:val="single" w:color="C08552" w:sz="4" w:space="4"/>
        </w:pBdr>
        <w:spacing w:after="140" w:before="300"/>
      </w:pPr>
      <w:r>
        <w:rPr>
          <w:rFonts w:ascii="Georgia" w:cs="Georgia" w:eastAsia="Georgia" w:hAnsi="Georgia"/>
          <w:b/>
          <w:bCs/>
          <w:color w:val="4A2222"/>
          <w:sz w:val="29"/>
          <w:szCs w:val="29"/>
        </w:rPr>
        <w:t xml:space="preserve">The Argument That Never Dies</w:t>
      </w:r>
    </w:p>
    <w:p>
      <w:pPr>
        <w:spacing w:after="160" w:line="288"/>
      </w:pPr>
      <w:r>
        <w:rPr>
          <w:rFonts w:ascii="Georgia" w:cs="Georgia" w:eastAsia="Georgia" w:hAnsi="Georgia"/>
          <w:color w:val="2A1410"/>
          <w:sz w:val="24"/>
          <w:szCs w:val="24"/>
        </w:rPr>
        <w:t xml:space="preserve">Read the nativist case closely and notice how familiar it sounds: they take our jobs, they won’t assimilate, they’re changing what this country is. The specific targets shift across American history — Irish, Chinese, Italians, Jews, and others since — but the structure of the argument is remarkably stable. Learning to recognize that structure, rather than just its latest target, is one of the most useful things this period can teach.</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Employers often encouraged native-born workers to blame immigrants for low wages. Who actually benefited from that blame, and who was it aimed away from?</w:t>
      </w:r>
    </w:p>
    <w:p>
      <w:pPr>
        <w:pStyle w:val="ListParagraph"/>
        <w:numPr>
          <w:ilvl w:val="0"/>
          <w:numId w:val="2"/>
        </w:numPr>
        <w:spacing w:after="130" w:line="288"/>
      </w:pPr>
      <w:r>
        <w:rPr>
          <w:rFonts w:ascii="Georgia" w:cs="Georgia" w:eastAsia="Georgia" w:hAnsi="Georgia"/>
          <w:color w:val="2A1410"/>
          <w:sz w:val="24"/>
          <w:szCs w:val="24"/>
        </w:rPr>
        <w:t xml:space="preserve">Nativists turned a feeling into law (the Chinese Exclusion Act) and into “science” (eugenics). Why is it dangerous when a prejudice gets dressed up as fact?</w:t>
      </w:r>
    </w:p>
    <w:p>
      <w:pPr>
        <w:pStyle w:val="ListParagraph"/>
        <w:numPr>
          <w:ilvl w:val="0"/>
          <w:numId w:val="2"/>
        </w:numPr>
        <w:spacing w:after="130" w:line="288"/>
      </w:pPr>
      <w:r>
        <w:rPr>
          <w:rFonts w:ascii="Georgia" w:cs="Georgia" w:eastAsia="Georgia" w:hAnsi="Georgia"/>
          <w:color w:val="2A1410"/>
          <w:sz w:val="24"/>
          <w:szCs w:val="24"/>
        </w:rPr>
        <w:t xml:space="preserve">The nativist argument recurs across American history with different targets. What’s gained by recognizing the pattern rather than only the latest version?</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reading is the shadow of the immigration video (Step 12): the same arrivals, seen through the eyes of those who wanted them gone.</w:t>
      </w:r>
    </w:p>
    <w:p>
      <w:pPr>
        <w:pStyle w:val="ListParagraph"/>
        <w:numPr>
          <w:ilvl w:val="0"/>
          <w:numId w:val="2"/>
        </w:numPr>
        <w:spacing w:after="130" w:line="288"/>
      </w:pPr>
      <w:r>
        <w:rPr>
          <w:rFonts w:ascii="Georgia" w:cs="Georgia" w:eastAsia="Georgia" w:hAnsi="Georgia"/>
          <w:color w:val="2A1410"/>
          <w:sz w:val="24"/>
          <w:szCs w:val="24"/>
        </w:rPr>
        <w:t xml:space="preserve">The eugenics and “survival of the fittest” logic here is the same Social Darwinism you’ll study head-on at Steps 15–16. The robber barons and the nativists drank from the same well.</w:t>
      </w:r>
    </w:p>
    <w:p>
      <w:pPr>
        <w:pStyle w:val="ListParagraph"/>
        <w:numPr>
          <w:ilvl w:val="0"/>
          <w:numId w:val="2"/>
        </w:numPr>
        <w:spacing w:after="130" w:line="288"/>
      </w:pPr>
      <w:r>
        <w:rPr>
          <w:rFonts w:ascii="Georgia" w:cs="Georgia" w:eastAsia="Georgia" w:hAnsi="Georgia"/>
          <w:color w:val="2A1410"/>
          <w:sz w:val="24"/>
          <w:szCs w:val="24"/>
        </w:rPr>
        <w:t xml:space="preserve">Next: Development of the Middle Class — the more comfortable Gilded Age that grew up alongside all of this.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2026-06-27T16:12:18.062Z</dcterms:created>
  <dcterms:modified xsi:type="dcterms:W3CDTF">2026-06-27T16:12:18.062Z</dcterms:modified>
</cp:coreProperties>
</file>

<file path=docProps/custom.xml><?xml version="1.0" encoding="utf-8"?>
<Properties xmlns="http://schemas.openxmlformats.org/officeDocument/2006/custom-properties" xmlns:vt="http://schemas.openxmlformats.org/officeDocument/2006/docPropsVTypes"/>
</file>