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Development of the Middle Class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14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Gilded Age wasn’t only robber barons and tenements. Between them, a new middle class was forming — and the AP course covers it in an article, not a video. This reading fills that gap, because the modern American idea of “middle-class life” — the office job, the department store, the weekend — was largely invented here.</w:t>
      </w:r>
    </w:p>
    <w:p>
      <w:pPr>
        <w:pBdr>
          <w:bottom w:val="single" w:color="C08552" w:sz="4" w:space="4"/>
        </w:pBdr>
        <w:spacing w:after="140" w:before="300"/>
      </w:pPr>
      <w:r>
        <w:rPr>
          <w:rFonts w:ascii="Georgia" w:cs="Georgia" w:eastAsia="Georgia" w:hAnsi="Georgia"/>
          <w:b/>
          <w:bCs/>
          <w:color w:val="4A2222"/>
          <w:sz w:val="29"/>
          <w:szCs w:val="29"/>
        </w:rPr>
        <w:t xml:space="preserve">A New Kind of Work</w:t>
      </w:r>
    </w:p>
    <w:p>
      <w:pPr>
        <w:spacing w:after="160" w:line="288"/>
      </w:pPr>
      <w:r>
        <w:rPr>
          <w:rFonts w:ascii="Georgia" w:cs="Georgia" w:eastAsia="Georgia" w:hAnsi="Georgia"/>
          <w:color w:val="2A1410"/>
          <w:sz w:val="24"/>
          <w:szCs w:val="24"/>
        </w:rPr>
        <w:t xml:space="preserve">The corporations described in the earlier bridges needed armies of people to run them: bookkeepers, clerks, managers, salesmen, secretaries. This was “white-collar” work — named for the clean collars of men who worked with paper instead of machines — and it created a salaried middle class between the owners and the wage laborers. The typewriter and telephone opened many of these jobs to women, making the female office worker a Gilded Age novelty.</w:t>
      </w:r>
    </w:p>
    <w:p>
      <w:pPr>
        <w:spacing w:after="160" w:line="288"/>
      </w:pPr>
      <w:r>
        <w:rPr>
          <w:rFonts w:ascii="Georgia" w:cs="Georgia" w:eastAsia="Georgia" w:hAnsi="Georgia"/>
          <w:color w:val="2A1410"/>
          <w:sz w:val="24"/>
          <w:szCs w:val="24"/>
        </w:rPr>
        <w:t xml:space="preserve">This middle class had something the factory worker didn’t: a measure of security, leisure, and disposable income. That difference — not just in wealth but in the kind of work and the time it left over — is what “middle class” really meant.</w:t>
      </w:r>
    </w:p>
    <w:p>
      <w:pPr>
        <w:pBdr>
          <w:bottom w:val="single" w:color="C08552" w:sz="4" w:space="4"/>
        </w:pBdr>
        <w:spacing w:after="140" w:before="300"/>
      </w:pPr>
      <w:r>
        <w:rPr>
          <w:rFonts w:ascii="Georgia" w:cs="Georgia" w:eastAsia="Georgia" w:hAnsi="Georgia"/>
          <w:b/>
          <w:bCs/>
          <w:color w:val="4A2222"/>
          <w:sz w:val="29"/>
          <w:szCs w:val="29"/>
        </w:rPr>
        <w:t xml:space="preserve">The Birth of Consumer Culture</w:t>
      </w:r>
    </w:p>
    <w:p>
      <w:pPr>
        <w:spacing w:after="160" w:line="288"/>
      </w:pPr>
      <w:r>
        <w:rPr>
          <w:rFonts w:ascii="Georgia" w:cs="Georgia" w:eastAsia="Georgia" w:hAnsi="Georgia"/>
          <w:color w:val="2A1410"/>
          <w:sz w:val="24"/>
          <w:szCs w:val="24"/>
        </w:rPr>
        <w:t xml:space="preserve">With money to spend and goods mass-produced, a culture of consumption took shape. The department store (Macy’s, Marshall Field’s) turned shopping into an experience. Mail-order catalogs from Sears and Montgomery Ward brought city goods to rural homes. Advertising became an industry. For the first time, large numbers of Americans defined themselves not only by what they produced but by what they could buy.</w:t>
      </w:r>
    </w:p>
    <w:p>
      <w:pPr>
        <w:spacing w:after="160" w:line="288"/>
      </w:pPr>
      <w:r>
        <w:rPr>
          <w:rFonts w:ascii="Georgia" w:cs="Georgia" w:eastAsia="Georgia" w:hAnsi="Georgia"/>
          <w:color w:val="2A1410"/>
          <w:sz w:val="24"/>
          <w:szCs w:val="24"/>
        </w:rPr>
        <w:t xml:space="preserve">Leisure grew alongside spending: amusement parks, spectator sports, vaudeville, the bicycle craze. The modern weekend — the very idea that life divides into work and its reward — took root in this class in this era.</w:t>
      </w:r>
    </w:p>
    <w:p>
      <w:pPr>
        <w:pBdr>
          <w:bottom w:val="single" w:color="C08552" w:sz="4" w:space="4"/>
        </w:pBdr>
        <w:spacing w:after="140" w:before="300"/>
      </w:pPr>
      <w:r>
        <w:rPr>
          <w:rFonts w:ascii="Georgia" w:cs="Georgia" w:eastAsia="Georgia" w:hAnsi="Georgia"/>
          <w:b/>
          <w:bCs/>
          <w:color w:val="4A2222"/>
          <w:sz w:val="29"/>
          <w:szCs w:val="29"/>
        </w:rPr>
        <w:t xml:space="preserve">The Reformers Come From Here</w:t>
      </w:r>
    </w:p>
    <w:p>
      <w:pPr>
        <w:spacing w:after="160" w:line="288"/>
      </w:pPr>
      <w:r>
        <w:rPr>
          <w:rFonts w:ascii="Georgia" w:cs="Georgia" w:eastAsia="Georgia" w:hAnsi="Georgia"/>
          <w:color w:val="2A1410"/>
          <w:sz w:val="24"/>
          <w:szCs w:val="24"/>
        </w:rPr>
        <w:t xml:space="preserve">One more thing to carry forward. This educated, comfortable middle class — especially its women, many now college-educated and looking for purpose beyond the home — became the engine of Gilded Age reform. The settlement-house workers, the muckrakers, and the temperance and suffrage organizers you’ll meet in the Reform video (Step 18) came largely from this rising middle class. Comfort gave them the time; conscience gave them the cause.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“Middle class” meant not just more money but a different kind of work and more free time. Why might the kind of work you do matter as much as the wage it pays?</w:t>
      </w:r>
    </w:p>
    <w:p>
      <w:pPr>
        <w:pStyle w:val="ListParagraph"/>
        <w:numPr>
          <w:ilvl w:val="0"/>
          <w:numId w:val="2"/>
        </w:numPr>
        <w:spacing w:after="130" w:line="288"/>
      </w:pPr>
      <w:r>
        <w:rPr>
          <w:rFonts w:ascii="Georgia" w:cs="Georgia" w:eastAsia="Georgia" w:hAnsi="Georgia"/>
          <w:color w:val="2A1410"/>
          <w:sz w:val="24"/>
          <w:szCs w:val="24"/>
        </w:rPr>
        <w:t xml:space="preserve">Consumer culture invited Americans to define themselves by what they bought rather than what they made. What changes in a society when that shift happens?</w:t>
      </w:r>
    </w:p>
    <w:p>
      <w:pPr>
        <w:pStyle w:val="ListParagraph"/>
        <w:numPr>
          <w:ilvl w:val="0"/>
          <w:numId w:val="2"/>
        </w:numPr>
        <w:spacing w:after="130" w:line="288"/>
      </w:pPr>
      <w:r>
        <w:rPr>
          <w:rFonts w:ascii="Georgia" w:cs="Georgia" w:eastAsia="Georgia" w:hAnsi="Georgia"/>
          <w:color w:val="2A1410"/>
          <w:sz w:val="24"/>
          <w:szCs w:val="24"/>
        </w:rPr>
        <w:t xml:space="preserve">The reformers of the next video came largely from this comfortable middle class. What does it mean that the people with the time to fight injustice were often the ones least harmed by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third Gilded Age you’ve now seen — after the barons (Part 1) and the workers (Step 11). Holding all three at once is the real picture of the period.</w:t>
      </w:r>
    </w:p>
    <w:p>
      <w:pPr>
        <w:pStyle w:val="ListParagraph"/>
        <w:numPr>
          <w:ilvl w:val="0"/>
          <w:numId w:val="2"/>
        </w:numPr>
        <w:spacing w:after="130" w:line="288"/>
      </w:pPr>
      <w:r>
        <w:rPr>
          <w:rFonts w:ascii="Georgia" w:cs="Georgia" w:eastAsia="Georgia" w:hAnsi="Georgia"/>
          <w:color w:val="2A1410"/>
          <w:sz w:val="24"/>
          <w:szCs w:val="24"/>
        </w:rPr>
        <w:t xml:space="preserve">The middle-class women named here are about to take center stage in the Reform video (Step 18) — settlement houses, muckraking, suffrage. This reading is their origin story.</w:t>
      </w:r>
    </w:p>
    <w:p>
      <w:pPr>
        <w:pStyle w:val="ListParagraph"/>
        <w:numPr>
          <w:ilvl w:val="0"/>
          <w:numId w:val="2"/>
        </w:numPr>
        <w:spacing w:after="130" w:line="288"/>
      </w:pPr>
      <w:r>
        <w:rPr>
          <w:rFonts w:ascii="Georgia" w:cs="Georgia" w:eastAsia="Georgia" w:hAnsi="Georgia"/>
          <w:color w:val="2A1410"/>
          <w:sz w:val="24"/>
          <w:szCs w:val="24"/>
        </w:rPr>
        <w:t xml:space="preserve">Next: the closing movement — Social Darwinism, Gilded Age politics, reform, and the synthesis that ends the period.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2026-06-27T16:12:18.066Z</dcterms:created>
  <dcterms:modified xsi:type="dcterms:W3CDTF">2026-06-27T16:12:18.066Z</dcterms:modified>
</cp:coreProperties>
</file>

<file path=docProps/custom.xml><?xml version="1.0" encoding="utf-8"?>
<Properties xmlns="http://schemas.openxmlformats.org/officeDocument/2006/custom-properties" xmlns:vt="http://schemas.openxmlformats.org/officeDocument/2006/docPropsVTypes"/>
</file>