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Politics in the Gilded Age</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17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AP “Politics in the Gilded Age” lesson has no video, but you can’t close the period without it. This reading covers two things at once: how corrupt and gridlocked national politics were, and how the people most crushed by the Gilded Age — the farmers from the first bridge — built a political movement, Populism, to fight back. It’s the bridge from the era’s failures to the reforms that answer them.</w:t>
      </w:r>
    </w:p>
    <w:p>
      <w:pPr>
        <w:pBdr>
          <w:bottom w:val="single" w:color="C08552" w:sz="4" w:space="4"/>
        </w:pBdr>
        <w:spacing w:after="140" w:before="300"/>
      </w:pPr>
      <w:r>
        <w:rPr>
          <w:rFonts w:ascii="Georgia" w:cs="Georgia" w:eastAsia="Georgia" w:hAnsi="Georgia"/>
          <w:b/>
          <w:bCs/>
          <w:color w:val="4A2222"/>
          <w:sz w:val="29"/>
          <w:szCs w:val="29"/>
        </w:rPr>
        <w:t xml:space="preserve">Politics as Spectacle and Spoils</w:t>
      </w:r>
    </w:p>
    <w:p>
      <w:pPr>
        <w:spacing w:after="160" w:line="288"/>
      </w:pPr>
      <w:r>
        <w:rPr>
          <w:rFonts w:ascii="Georgia" w:cs="Georgia" w:eastAsia="Georgia" w:hAnsi="Georgia"/>
          <w:color w:val="2A1410"/>
          <w:sz w:val="24"/>
          <w:szCs w:val="24"/>
        </w:rPr>
        <w:t xml:space="preserve">Gilded Age national politics were loud, closely fought, and largely hollow. Elections drew enormous turnout, but the two parties differed little on the questions that mattered most — the trusts, the wages, the inequality. What politics ran on instead was the spoils system: the winning party handed out government jobs to loyal supporters, regardless of competence. Political machines like New York’s Tammany Hall traded jobs, favors, and food for votes, growing rich on the kickbacks.</w:t>
      </w:r>
    </w:p>
    <w:p>
      <w:pPr>
        <w:spacing w:after="160" w:line="288"/>
      </w:pPr>
      <w:r>
        <w:rPr>
          <w:rFonts w:ascii="Georgia" w:cs="Georgia" w:eastAsia="Georgia" w:hAnsi="Georgia"/>
          <w:color w:val="2A1410"/>
          <w:sz w:val="24"/>
          <w:szCs w:val="24"/>
        </w:rPr>
        <w:t xml:space="preserve">It took the assassination of President Garfield in 1881, by a disappointed office-seeker, to force even a modest reform — the Pendleton Act of 1883, which began awarding some federal jobs by merit exam rather than loyalty. The deeper corruption, the marriage of big business and government you saw in Part 1, went untouched.</w:t>
      </w:r>
    </w:p>
    <w:p>
      <w:pPr>
        <w:pBdr>
          <w:bottom w:val="single" w:color="C08552" w:sz="4" w:space="4"/>
        </w:pBdr>
        <w:spacing w:after="140" w:before="300"/>
      </w:pPr>
      <w:r>
        <w:rPr>
          <w:rFonts w:ascii="Georgia" w:cs="Georgia" w:eastAsia="Georgia" w:hAnsi="Georgia"/>
          <w:b/>
          <w:bCs/>
          <w:color w:val="4A2222"/>
          <w:sz w:val="29"/>
          <w:szCs w:val="29"/>
        </w:rPr>
        <w:t xml:space="preserve">The Farmers Build a Movement</w:t>
      </w:r>
    </w:p>
    <w:p>
      <w:pPr>
        <w:spacing w:after="160" w:line="288"/>
      </w:pPr>
      <w:r>
        <w:rPr>
          <w:rFonts w:ascii="Georgia" w:cs="Georgia" w:eastAsia="Georgia" w:hAnsi="Georgia"/>
          <w:color w:val="2A1410"/>
          <w:sz w:val="24"/>
          <w:szCs w:val="24"/>
        </w:rPr>
        <w:t xml:space="preserve">Meanwhile the farmers you met in the first bridge — squeezed by falling crop prices, crushing debt, and railroad freight rates they couldn’t control — stopped waiting for the parties to help. Out of the Grange and the Farmers’ Alliance grew the People’s Party, the Populists, one of the most significant third-party movements in American history.</w:t>
      </w:r>
    </w:p>
    <w:p>
      <w:pPr>
        <w:spacing w:after="160" w:line="288"/>
      </w:pPr>
      <w:r>
        <w:rPr>
          <w:rFonts w:ascii="Georgia" w:cs="Georgia" w:eastAsia="Georgia" w:hAnsi="Georgia"/>
          <w:color w:val="2A1410"/>
          <w:sz w:val="24"/>
          <w:szCs w:val="24"/>
        </w:rPr>
        <w:t xml:space="preserve">Their 1892 Omaha Platform was radical and specific: government ownership of the railroads and telegraph, a graduated income tax, the direct election of senators, and an expanded money supply (“free silver”) to ease farm debt. Strip away the period language and the demand underneath is familiar — that ordinary producers, not corporations, should control the economy that depends on them.</w:t>
      </w:r>
    </w:p>
    <w:p>
      <w:pPr>
        <w:pBdr>
          <w:bottom w:val="single" w:color="C08552" w:sz="4" w:space="4"/>
        </w:pBdr>
        <w:spacing w:after="140" w:before="300"/>
      </w:pPr>
      <w:r>
        <w:rPr>
          <w:rFonts w:ascii="Georgia" w:cs="Georgia" w:eastAsia="Georgia" w:hAnsi="Georgia"/>
          <w:b/>
          <w:bCs/>
          <w:color w:val="4A2222"/>
          <w:sz w:val="29"/>
          <w:szCs w:val="29"/>
        </w:rPr>
        <w:t xml:space="preserve">What the Populists Started</w:t>
      </w:r>
    </w:p>
    <w:p>
      <w:pPr>
        <w:spacing w:after="160" w:line="288"/>
      </w:pPr>
      <w:r>
        <w:rPr>
          <w:rFonts w:ascii="Georgia" w:cs="Georgia" w:eastAsia="Georgia" w:hAnsi="Georgia"/>
          <w:color w:val="2A1410"/>
          <w:sz w:val="24"/>
          <w:szCs w:val="24"/>
        </w:rPr>
        <w:t xml:space="preserve">The Populists fused with the Democrats behind William Jennings Bryan in 1896 and lost the presidency, and the party faded. It’s easy to call them a failure. But look at the platform again: the income tax, the direct election of senators, railroad regulation — nearly every one became law in the Progressive Era that followed. The Populists lost the election and won the argument.</w:t>
      </w:r>
    </w:p>
    <w:p>
      <w:pPr>
        <w:spacing w:after="160" w:line="288"/>
      </w:pPr>
      <w:r>
        <w:rPr>
          <w:rFonts w:ascii="Georgia" w:cs="Georgia" w:eastAsia="Georgia" w:hAnsi="Georgia"/>
          <w:color w:val="2A1410"/>
          <w:sz w:val="24"/>
          <w:szCs w:val="24"/>
        </w:rPr>
        <w:t xml:space="preserve">Keep that pattern. A movement can be defeated at the ballot box and still set the agenda for the generation that comes after. You saw it with Reconstruction; you’ll see it again.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Gilded Age elections had huge turnout but the parties barely differed on inequality. What does it mean to have a loud democracy that avoids the biggest questions?</w:t>
      </w:r>
    </w:p>
    <w:p>
      <w:pPr>
        <w:pStyle w:val="ListParagraph"/>
        <w:numPr>
          <w:ilvl w:val="0"/>
          <w:numId w:val="2"/>
        </w:numPr>
        <w:spacing w:after="130" w:line="288"/>
      </w:pPr>
      <w:r>
        <w:rPr>
          <w:rFonts w:ascii="Georgia" w:cs="Georgia" w:eastAsia="Georgia" w:hAnsi="Georgia"/>
          <w:color w:val="2A1410"/>
          <w:sz w:val="24"/>
          <w:szCs w:val="24"/>
        </w:rPr>
        <w:t xml:space="preserve">The Populists demanded that “ordinary producers, not corporations, should control the economy.” How does that demand connect to everything else you’ve studied this period?</w:t>
      </w:r>
    </w:p>
    <w:p>
      <w:pPr>
        <w:pStyle w:val="ListParagraph"/>
        <w:numPr>
          <w:ilvl w:val="0"/>
          <w:numId w:val="2"/>
        </w:numPr>
        <w:spacing w:after="130" w:line="288"/>
      </w:pPr>
      <w:r>
        <w:rPr>
          <w:rFonts w:ascii="Georgia" w:cs="Georgia" w:eastAsia="Georgia" w:hAnsi="Georgia"/>
          <w:color w:val="2A1410"/>
          <w:sz w:val="24"/>
          <w:szCs w:val="24"/>
        </w:rPr>
        <w:t xml:space="preserve">The Populists lost the election but most of their platform became law. What does it tell you that a “failed” movement can still win the argument?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bridge closes the loop opened in the first bridge: the squeezed farmer of Step 3 becomes the Populist of Step 17. Read them as one story.</w:t>
      </w:r>
    </w:p>
    <w:p>
      <w:pPr>
        <w:pStyle w:val="ListParagraph"/>
        <w:numPr>
          <w:ilvl w:val="0"/>
          <w:numId w:val="2"/>
        </w:numPr>
        <w:spacing w:after="130" w:line="288"/>
      </w:pPr>
      <w:r>
        <w:rPr>
          <w:rFonts w:ascii="Georgia" w:cs="Georgia" w:eastAsia="Georgia" w:hAnsi="Georgia"/>
          <w:color w:val="2A1410"/>
          <w:sz w:val="24"/>
          <w:szCs w:val="24"/>
        </w:rPr>
        <w:t xml:space="preserve">The Populist demand — producers, not owners, controlling the economy — is the clearest Gilded Age statement of the question The People’s Share exists to ask. This is its native soil.</w:t>
      </w:r>
    </w:p>
    <w:p>
      <w:pPr>
        <w:pStyle w:val="ListParagraph"/>
        <w:numPr>
          <w:ilvl w:val="0"/>
          <w:numId w:val="2"/>
        </w:numPr>
        <w:spacing w:after="130" w:line="288"/>
      </w:pPr>
      <w:r>
        <w:rPr>
          <w:rFonts w:ascii="Georgia" w:cs="Georgia" w:eastAsia="Georgia" w:hAnsi="Georgia"/>
          <w:color w:val="2A1410"/>
          <w:sz w:val="24"/>
          <w:szCs w:val="24"/>
        </w:rPr>
        <w:t xml:space="preserve">Next: Reform in the Gilded Age — the reformers, many from the middle class of Step 14, who refused Spencer’s “do nothing.”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2026-06-27T16:30:57.396Z</dcterms:created>
  <dcterms:modified xsi:type="dcterms:W3CDTF">2026-06-27T16:30:57.396Z</dcterms:modified>
</cp:coreProperties>
</file>

<file path=docProps/custom.xml><?xml version="1.0" encoding="utf-8"?>
<Properties xmlns="http://schemas.openxmlformats.org/officeDocument/2006/custom-properties" xmlns:vt="http://schemas.openxmlformats.org/officeDocument/2006/docPropsVTypes"/>
</file>