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Immigration and Migration in the Gilded Age</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12 of 19 · about 8½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video that puts faces on the workforce the last three readings described. Khan opens with the explosion of cities — three over a million by 1900 — and explains it through three forces: industrialization, immigration, and migration. He introduces the “new immigrants,” the push-and-pull framework, and ends with two immigrants’ own words — a Chinese house servant in San Francisco and a Jewish girl in Boston. The closing question is yours to answer.</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The city explodes.  </w:t>
      </w:r>
      <w:r>
        <w:rPr>
          <w:rFonts w:ascii="Georgia" w:cs="Georgia" w:eastAsia="Georgia" w:hAnsi="Georgia"/>
          <w:color w:val="2A1410"/>
          <w:sz w:val="24"/>
          <w:szCs w:val="24"/>
        </w:rPr>
        <w:t xml:space="preserve">From zero cities over a million in 1860 to three by 1900; Chicago grows seventeen-fold. Khan’s point: this is the fastest urbanization in the nation’s history, driven by three forces working at once — industrialization, immigration, migration.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The 1880 tipping point, again.  </w:t>
      </w:r>
      <w:r>
        <w:rPr>
          <w:rFonts w:ascii="Georgia" w:cs="Georgia" w:eastAsia="Georgia" w:hAnsi="Georgia"/>
          <w:color w:val="2A1410"/>
          <w:sz w:val="24"/>
          <w:szCs w:val="24"/>
        </w:rPr>
        <w:t xml:space="preserve">Khan returns to the hinge you met in Part 2: by 1880, wage-workers-with-a-boss outnumber the self-employed for the first time. He frames it bluntly — “self-directed” farm work replaced by “unskilled factory work done for a boss.” </w:t>
      </w:r>
      <w:r>
        <w:rPr>
          <w:rFonts w:ascii="Georgia" w:cs="Georgia" w:eastAsia="Georgia" w:hAnsi="Georgia"/>
          <w:b/>
          <w:bCs/>
          <w:color w:val="2A1410"/>
          <w:sz w:val="24"/>
          <w:szCs w:val="24"/>
        </w:rPr>
        <w:t xml:space="preserve">The independent producer is vanishing.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Old immigrants and new.  </w:t>
      </w:r>
      <w:r>
        <w:rPr>
          <w:rFonts w:ascii="Georgia" w:cs="Georgia" w:eastAsia="Georgia" w:hAnsi="Georgia"/>
          <w:color w:val="2A1410"/>
          <w:sz w:val="24"/>
          <w:szCs w:val="24"/>
        </w:rPr>
        <w:t xml:space="preserve">The key AP distinction. Before the 1840s: Protestant, Northern and Western European, relatively well-off. After the Civil War: Southern and Eastern European, Mexican, Asian — poorer, often Catholic or Jewish. Khan is precise that the difference the era obsessed over was as much about religion and race as origin. Hold that; it explains the backlash in the next reading.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Push and pull.  </w:t>
      </w:r>
      <w:r>
        <w:rPr>
          <w:rFonts w:ascii="Georgia" w:cs="Georgia" w:eastAsia="Georgia" w:hAnsi="Georgia"/>
          <w:color w:val="2A1410"/>
          <w:sz w:val="24"/>
          <w:szCs w:val="24"/>
        </w:rPr>
        <w:t xml:space="preserve">The framework to carry. </w:t>
      </w:r>
      <w:r>
        <w:rPr>
          <w:rFonts w:ascii="Georgia" w:cs="Georgia" w:eastAsia="Georgia" w:hAnsi="Georgia"/>
          <w:b/>
          <w:bCs/>
          <w:color w:val="2A1410"/>
          <w:sz w:val="24"/>
          <w:szCs w:val="24"/>
        </w:rPr>
        <w:t xml:space="preserve">Push</w:t>
      </w:r>
      <w:r>
        <w:rPr>
          <w:rFonts w:ascii="Georgia" w:cs="Georgia" w:eastAsia="Georgia" w:hAnsi="Georgia"/>
          <w:color w:val="2A1410"/>
          <w:sz w:val="24"/>
          <w:szCs w:val="24"/>
        </w:rPr>
        <w:t xml:space="preserve"> factors drove people out — poverty, the mechanization of farming, persecution (Russian pogroms; Southern lynching and Jim Crow). </w:t>
      </w:r>
      <w:r>
        <w:rPr>
          <w:rFonts w:ascii="Georgia" w:cs="Georgia" w:eastAsia="Georgia" w:hAnsi="Georgia"/>
          <w:b/>
          <w:bCs/>
          <w:color w:val="2A1410"/>
          <w:sz w:val="24"/>
          <w:szCs w:val="24"/>
        </w:rPr>
        <w:t xml:space="preserve">Pull</w:t>
      </w:r>
      <w:r>
        <w:rPr>
          <w:rFonts w:ascii="Georgia" w:cs="Georgia" w:eastAsia="Georgia" w:hAnsi="Georgia"/>
          <w:color w:val="2A1410"/>
          <w:sz w:val="24"/>
          <w:szCs w:val="24"/>
        </w:rPr>
        <w:t xml:space="preserve"> factors drew them in — jobs above all, plus the ethnic enclaves where earlier arrivals helped the next. Migration is never one thing; it’s a balance of forces.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~6:00  ·  </w:t>
      </w:r>
      <w:r>
        <w:rPr>
          <w:rFonts w:ascii="Georgia" w:cs="Georgia" w:eastAsia="Georgia" w:hAnsi="Georgia"/>
          <w:b/>
          <w:bCs/>
          <w:color w:val="5C2C2C"/>
          <w:sz w:val="23"/>
          <w:szCs w:val="23"/>
        </w:rPr>
        <w:t xml:space="preserve">The Great Migration begins.  </w:t>
      </w:r>
      <w:r>
        <w:rPr>
          <w:rFonts w:ascii="Georgia" w:cs="Georgia" w:eastAsia="Georgia" w:hAnsi="Georgia"/>
          <w:color w:val="2A1410"/>
          <w:sz w:val="24"/>
          <w:szCs w:val="24"/>
        </w:rPr>
        <w:t xml:space="preserve">Don’t skip Khan’s note that African Americans began leaving the South for Northern cities in this era — fleeing the Jim Crow and lynching you studied in Steps 5–8. </w:t>
      </w:r>
      <w:r>
        <w:rPr>
          <w:rFonts w:ascii="Georgia" w:cs="Georgia" w:eastAsia="Georgia" w:hAnsi="Georgia"/>
          <w:b/>
          <w:bCs/>
          <w:color w:val="2A1410"/>
          <w:sz w:val="24"/>
          <w:szCs w:val="24"/>
        </w:rPr>
        <w:t xml:space="preserve">The same violence is now a push factor.</w:t>
      </w:r>
      <w:r>
        <w:rPr>
          <w:rFonts w:ascii="Georgia" w:cs="Georgia" w:eastAsia="Georgia" w:hAnsi="Georgia"/>
          <w:color w:val="2A1410"/>
          <w:sz w:val="24"/>
          <w:szCs w:val="24"/>
        </w:rPr>
        <w:t xml:space="preserve"> The threads of this period are tied together.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Two voices.  </w:t>
      </w:r>
      <w:r>
        <w:rPr>
          <w:rFonts w:ascii="Georgia" w:cs="Georgia" w:eastAsia="Georgia" w:hAnsi="Georgia"/>
          <w:color w:val="2A1410"/>
          <w:sz w:val="24"/>
          <w:szCs w:val="24"/>
        </w:rPr>
        <w:t xml:space="preserve">Khan closes with Lee Chu (San Francisco, 1880) and Mary Antin (Boston, 1894) in their own words — saving money, learning English, shedding their names for American ones. He hands you the questions rather than answering them. That’s the invitation.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distinguishes “old” and “new” immigrants partly by religion and skin color, not just origin. Why does that distinction matter for what came next?</w:t>
      </w:r>
    </w:p>
    <w:p>
      <w:pPr>
        <w:pStyle w:val="ListParagraph"/>
        <w:numPr>
          <w:ilvl w:val="0"/>
          <w:numId w:val="2"/>
        </w:numPr>
        <w:spacing w:after="130" w:line="288"/>
      </w:pPr>
      <w:r>
        <w:rPr>
          <w:rFonts w:ascii="Georgia" w:cs="Georgia" w:eastAsia="Georgia" w:hAnsi="Georgia"/>
          <w:color w:val="2A1410"/>
          <w:sz w:val="24"/>
          <w:szCs w:val="24"/>
        </w:rPr>
        <w:t xml:space="preserve">The same Jim Crow violence you studied in Steps 5–8 shows up here as a push factor in the Great Migration. What does it mean to watch one period’s events become another’s causes?</w:t>
      </w:r>
    </w:p>
    <w:p>
      <w:pPr>
        <w:pStyle w:val="ListParagraph"/>
        <w:numPr>
          <w:ilvl w:val="0"/>
          <w:numId w:val="2"/>
        </w:numPr>
        <w:spacing w:after="130" w:line="288"/>
      </w:pPr>
      <w:r>
        <w:rPr>
          <w:rFonts w:ascii="Georgia" w:cs="Georgia" w:eastAsia="Georgia" w:hAnsi="Georgia"/>
          <w:color w:val="2A1410"/>
          <w:sz w:val="24"/>
          <w:szCs w:val="24"/>
        </w:rPr>
        <w:t xml:space="preserve">Lee Chu and Mary Antin both worked, saved, and adapted — and Antin’s family “shed their impossible Hebrew names.” What is asked of an immigrant in exchange for belonging, and who sets the price?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“What similarities and differences do you see between Lee Chu and Mary Antin?”  </w:t>
      </w:r>
      <w:r>
        <w:rPr>
          <w:rFonts w:ascii="Georgia" w:cs="Georgia" w:eastAsia="Georgia" w:hAnsi="Georgia"/>
          <w:color w:val="2A1410"/>
          <w:sz w:val="24"/>
          <w:szCs w:val="24"/>
        </w:rPr>
        <w:t xml:space="preserve">Khan ends on that question on purpose, so take it up in writing. Both arrived as teenagers, both worked hard, both adapted — and both paid a price in language, name, and culture for the chance to belong. Many of your own students, and maybe you, know this exchange from the inside. Write about it from wherever you stand: what does America ask a newcomer to give up, what does it offer in return, and is the trade a fair one?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video is the human face of the three bridges before it: the de-skilled, replaceable workforce of industrial capitalism was largely these immigrants and migrants.</w:t>
      </w:r>
    </w:p>
    <w:p>
      <w:pPr>
        <w:pStyle w:val="ListParagraph"/>
        <w:numPr>
          <w:ilvl w:val="0"/>
          <w:numId w:val="2"/>
        </w:numPr>
        <w:spacing w:after="130" w:line="288"/>
      </w:pPr>
      <w:r>
        <w:rPr>
          <w:rFonts w:ascii="Georgia" w:cs="Georgia" w:eastAsia="Georgia" w:hAnsi="Georgia"/>
          <w:color w:val="2A1410"/>
          <w:sz w:val="24"/>
          <w:szCs w:val="24"/>
        </w:rPr>
        <w:t xml:space="preserve">The “new immigrant” distinction Khan draws sets up the very next reading — Responses to Immigration — where the backlash becomes law and ideology.</w:t>
      </w:r>
    </w:p>
    <w:p>
      <w:pPr>
        <w:pStyle w:val="ListParagraph"/>
        <w:numPr>
          <w:ilvl w:val="0"/>
          <w:numId w:val="2"/>
        </w:numPr>
        <w:spacing w:after="130" w:line="288"/>
      </w:pPr>
      <w:r>
        <w:rPr>
          <w:rFonts w:ascii="Georgia" w:cs="Georgia" w:eastAsia="Georgia" w:hAnsi="Georgia"/>
          <w:color w:val="2A1410"/>
          <w:sz w:val="24"/>
          <w:szCs w:val="24"/>
        </w:rPr>
        <w:t xml:space="preserve">The two narratives here are a natural bridge to your own classroom: the immigrant-voice text is exactly the kind of primary source Track A is built from.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2026-06-27T16:12:18.051Z</dcterms:created>
  <dcterms:modified xsi:type="dcterms:W3CDTF">2026-06-27T16:12:18.051Z</dcterms:modified>
</cp:coreProperties>
</file>

<file path=docProps/custom.xml><?xml version="1.0" encoding="utf-8"?>
<Properties xmlns="http://schemas.openxmlformats.org/officeDocument/2006/custom-properties" xmlns:vt="http://schemas.openxmlformats.org/officeDocument/2006/docPropsVTypes"/>
</file>