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Roaring Twenties: Culture, Technology, and the New Woman</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7 (1890–1945) · fills a gap the playlist skips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video said people were “having fun and buying stuff.” This reading is what that actually looked and sounded like — because the 1920s were a real cultural revolution, and the fight over it ran all the way to a courtroom in Tennessee.</w:t>
      </w:r>
    </w:p>
    <w:p>
      <w:pPr>
        <w:pBdr>
          <w:bottom w:val="single" w:color="C08552" w:sz="4" w:space="4"/>
        </w:pBdr>
        <w:spacing w:after="140" w:before="300"/>
      </w:pPr>
      <w:r>
        <w:rPr>
          <w:rFonts w:ascii="Georgia" w:cs="Georgia" w:eastAsia="Georgia" w:hAnsi="Georgia"/>
          <w:b/>
          <w:bCs/>
          <w:color w:val="4A2222"/>
          <w:sz w:val="29"/>
          <w:szCs w:val="29"/>
        </w:rPr>
        <w:t xml:space="preserve">A wired, watching nation</w:t>
      </w:r>
    </w:p>
    <w:p>
      <w:pPr>
        <w:spacing w:after="160" w:line="288"/>
      </w:pPr>
      <w:r>
        <w:rPr>
          <w:rFonts w:ascii="Georgia" w:cs="Georgia" w:eastAsia="Georgia" w:hAnsi="Georgia"/>
          <w:color w:val="2A1410"/>
          <w:sz w:val="24"/>
          <w:szCs w:val="24"/>
        </w:rPr>
        <w:t xml:space="preserve">For the first time, Americans shared a culture in real time. Commercial radio began in 1920, and by the decade's end millions of families gathered around the same broadcasts — the same news, the same music, the same voices — on the same night. The movies learned to talk in 1927. Mass advertising taught people to want, and installment credit — buy now, pay later — let them buy before they could afford to. And the automobile, cheap enough for ordinary families, remade courtship, leisure, and the shape of the country itself.</w:t>
      </w:r>
    </w:p>
    <w:p>
      <w:pPr>
        <w:pBdr>
          <w:bottom w:val="single" w:color="C08552" w:sz="4" w:space="4"/>
        </w:pBdr>
        <w:spacing w:after="140" w:before="300"/>
      </w:pPr>
      <w:r>
        <w:rPr>
          <w:rFonts w:ascii="Georgia" w:cs="Georgia" w:eastAsia="Georgia" w:hAnsi="Georgia"/>
          <w:b/>
          <w:bCs/>
          <w:color w:val="4A2222"/>
          <w:sz w:val="29"/>
          <w:szCs w:val="29"/>
        </w:rPr>
        <w:t xml:space="preserve">The New Woman</w:t>
      </w:r>
    </w:p>
    <w:p>
      <w:pPr>
        <w:spacing w:after="160" w:line="288"/>
      </w:pPr>
      <w:r>
        <w:rPr>
          <w:rFonts w:ascii="Georgia" w:cs="Georgia" w:eastAsia="Georgia" w:hAnsi="Georgia"/>
          <w:color w:val="2A1410"/>
          <w:sz w:val="24"/>
          <w:szCs w:val="24"/>
        </w:rPr>
        <w:t xml:space="preserve">The flapper became the decade's symbol: bobbed hair, shorter skirts, lipstick, cigarettes, and dancing — a deliberate insult to Victorian propriety. Behind the image was real change. Women had just won the vote; more worked and attended college; and the birth-control movement, led by Margaret Sanger, began arguing that women should control whether and when they had children. The change was uneven — the flapper was mostly young, urban, and white — but it was a visible break with the past, and it frightened people who prized the old order.</w:t>
      </w:r>
    </w:p>
    <w:p>
      <w:pPr>
        <w:pBdr>
          <w:bottom w:val="single" w:color="C08552" w:sz="4" w:space="4"/>
        </w:pBdr>
        <w:spacing w:after="140" w:before="300"/>
      </w:pPr>
      <w:r>
        <w:rPr>
          <w:rFonts w:ascii="Georgia" w:cs="Georgia" w:eastAsia="Georgia" w:hAnsi="Georgia"/>
          <w:b/>
          <w:bCs/>
          <w:color w:val="4A2222"/>
          <w:sz w:val="29"/>
          <w:szCs w:val="29"/>
        </w:rPr>
        <w:t xml:space="preserve">Two Americas in one courtroom</w:t>
      </w:r>
    </w:p>
    <w:p>
      <w:pPr>
        <w:spacing w:after="160" w:line="288"/>
      </w:pPr>
      <w:r>
        <w:rPr>
          <w:rFonts w:ascii="Georgia" w:cs="Georgia" w:eastAsia="Georgia" w:hAnsi="Georgia"/>
          <w:color w:val="2A1410"/>
          <w:sz w:val="24"/>
          <w:szCs w:val="24"/>
        </w:rPr>
        <w:t xml:space="preserve">Much of the decade's best music came from Black musicians — jazz, thrilling to the young and scandalous to their elders. And beneath the fun ran a deeper argument between a modern, urban, scientific America and a traditional, rural, religious one. It came to a head in 1925 in Dayton, Tennessee, at the Scopes “Monkey” Trial, where a teacher was prosecuted for teaching evolution. The famous defender Clarence Darrow faced the aging populist William Jennings Bryan, and the nation listened by radio. Bryan technically won the case and died five days later. The argument he was fighting — between old certainties and new knowledge — did not die with him.</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Radio and the movies let millions share the same culture at the same moment. What do a country gains — and what might it lose — when everyone is watching and hearing the same things?</w:t>
      </w:r>
    </w:p>
    <w:p>
      <w:pPr>
        <w:pStyle w:val="ListParagraph"/>
        <w:numPr>
          <w:ilvl w:val="0"/>
          <w:numId w:val="2"/>
        </w:numPr>
        <w:spacing w:after="130" w:line="288"/>
      </w:pPr>
      <w:r>
        <w:rPr>
          <w:rFonts w:ascii="Georgia" w:cs="Georgia" w:eastAsia="Georgia" w:hAnsi="Georgia"/>
          <w:color w:val="2A1410"/>
          <w:sz w:val="24"/>
          <w:szCs w:val="24"/>
        </w:rPr>
        <w:t xml:space="preserve">The flapper was an image, but the reading says real change stood behind it. Name two of those real changes for women in the 1920s.</w:t>
      </w:r>
    </w:p>
    <w:p>
      <w:pPr>
        <w:pStyle w:val="ListParagraph"/>
        <w:numPr>
          <w:ilvl w:val="0"/>
          <w:numId w:val="2"/>
        </w:numPr>
        <w:spacing w:after="130" w:line="288"/>
      </w:pPr>
      <w:r>
        <w:rPr>
          <w:rFonts w:ascii="Georgia" w:cs="Georgia" w:eastAsia="Georgia" w:hAnsi="Georgia"/>
          <w:color w:val="2A1410"/>
          <w:sz w:val="24"/>
          <w:szCs w:val="24"/>
        </w:rPr>
        <w:t xml:space="preserve">The Scopes Trial is described as "two Americas in one courtroom." What were the two, and does that divide sound familiar today?</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the vote. </w:t>
      </w:r>
      <w:r>
        <w:rPr>
          <w:rFonts w:ascii="Georgia" w:cs="Georgia" w:eastAsia="Georgia" w:hAnsi="Georgia"/>
          <w:color w:val="2A1410"/>
          <w:sz w:val="24"/>
          <w:szCs w:val="24"/>
        </w:rPr>
        <w:t xml:space="preserve">The New Woman is the next chapter of the suffrage story you read in “Votes for Women” — the ballot won, and now a broader claim on public life.</w:t>
      </w:r>
    </w:p>
    <w:p>
      <w:pPr>
        <w:pStyle w:val="ListParagraph"/>
        <w:numPr>
          <w:ilvl w:val="0"/>
          <w:numId w:val="2"/>
        </w:numPr>
        <w:spacing w:after="130" w:line="288"/>
      </w:pPr>
      <w:r>
        <w:rPr>
          <w:rFonts w:ascii="Georgia" w:cs="Georgia" w:eastAsia="Georgia" w:hAnsi="Georgia"/>
          <w:b/>
          <w:bCs/>
          <w:color w:val="2A1410"/>
          <w:sz w:val="24"/>
          <w:szCs w:val="24"/>
        </w:rPr>
        <w:t xml:space="preserve">Read next: </w:t>
      </w:r>
      <w:r>
        <w:rPr>
          <w:rFonts w:ascii="Georgia" w:cs="Georgia" w:eastAsia="Georgia" w:hAnsi="Georgia"/>
          <w:color w:val="2A1410"/>
          <w:sz w:val="24"/>
          <w:szCs w:val="24"/>
        </w:rPr>
        <w:t xml:space="preserve">“The Harlem Renaissance,” where the jazz this reading mentions becomes the center of an artistic movement.</w:t>
      </w:r>
    </w:p>
    <w:p>
      <w:pPr>
        <w:pStyle w:val="ListParagraph"/>
        <w:numPr>
          <w:ilvl w:val="0"/>
          <w:numId w:val="2"/>
        </w:numPr>
        <w:spacing w:after="130" w:line="288"/>
      </w:pPr>
      <w:r>
        <w:rPr>
          <w:rFonts w:ascii="Georgia" w:cs="Georgia" w:eastAsia="Georgia" w:hAnsi="Georgia"/>
          <w:b/>
          <w:bCs/>
          <w:color w:val="2A1410"/>
          <w:sz w:val="24"/>
          <w:szCs w:val="24"/>
        </w:rPr>
        <w:t xml:space="preserve">And its shadow: </w:t>
      </w:r>
      <w:r>
        <w:rPr>
          <w:rFonts w:ascii="Georgia" w:cs="Georgia" w:eastAsia="Georgia" w:hAnsi="Georgia"/>
          <w:color w:val="2A1410"/>
          <w:sz w:val="24"/>
          <w:szCs w:val="24"/>
        </w:rPr>
        <w:t xml:space="preserve">the traditional backlash here powers the Klan and Prohibition in the reading that follows.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2026-07-04T20:46:24.851Z</dcterms:created>
  <dcterms:modified xsi:type="dcterms:W3CDTF">2026-07-04T20:46:24.851Z</dcterms:modified>
</cp:coreProperties>
</file>

<file path=docProps/custom.xml><?xml version="1.0" encoding="utf-8"?>
<Properties xmlns="http://schemas.openxmlformats.org/officeDocument/2006/custom-properties" xmlns:vt="http://schemas.openxmlformats.org/officeDocument/2006/docPropsVTypes"/>
</file>