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Movement Takes Shape</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6 of 15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civil rights movement is the moral center of this whole Period, and it doesn’t begin with the marches you’ve heard of. This reading covers its </w:t>
      </w:r>
      <w:r>
        <w:rPr>
          <w:rFonts w:ascii="Georgia" w:cs="Georgia" w:eastAsia="Georgia" w:hAnsi="Georgia"/>
          <w:b/>
          <w:bCs/>
          <w:color w:val="2A1410"/>
          <w:sz w:val="24"/>
          <w:szCs w:val="24"/>
        </w:rPr>
        <w:t xml:space="preserve">first phase</w:t>
      </w:r>
      <w:r>
        <w:rPr>
          <w:rFonts w:ascii="Georgia" w:cs="Georgia" w:eastAsia="Georgia" w:hAnsi="Georgia"/>
          <w:color w:val="2A1410"/>
          <w:sz w:val="24"/>
          <w:szCs w:val="24"/>
        </w:rPr>
        <w:t xml:space="preserve"> — roughly 1945 to 1957 — the years that laid the foundation: a Supreme Court victory, a boy’s murder, a bus boycott, nine students and a wall of soldiers. You need these before the movement’s peak in the 1960s (Step 11), because everything there is built on the ground broken here. Read this one slowly. Some of it is hard, and it should be.</w:t>
      </w:r>
    </w:p>
    <w:p>
      <w:pPr>
        <w:pBdr>
          <w:bottom w:val="single" w:color="C08552" w:sz="4" w:space="4"/>
        </w:pBdr>
        <w:spacing w:after="140" w:before="300"/>
      </w:pPr>
      <w:r>
        <w:rPr>
          <w:rFonts w:ascii="Georgia" w:cs="Georgia" w:eastAsia="Georgia" w:hAnsi="Georgia"/>
          <w:b/>
          <w:bCs/>
          <w:color w:val="4A2222"/>
          <w:sz w:val="29"/>
          <w:szCs w:val="29"/>
        </w:rPr>
        <w:t xml:space="preserve">The war’s unpaid promise</w:t>
      </w:r>
    </w:p>
    <w:p>
      <w:pPr>
        <w:spacing w:after="160" w:line="288"/>
      </w:pPr>
      <w:r>
        <w:rPr>
          <w:rFonts w:ascii="Georgia" w:cs="Georgia" w:eastAsia="Georgia" w:hAnsi="Georgia"/>
          <w:color w:val="2A1410"/>
          <w:sz w:val="24"/>
          <w:szCs w:val="24"/>
        </w:rPr>
        <w:t xml:space="preserve">More than a million Black Americans served in World War II, in segregated units, fighting a war against a racist enemy for a country that treated them as second-class at home. They came back to Jim Crow — to segregated schools, to the backs of buses, to the vote denied. The contradiction was unbearable and clarifying, and Black newspapers gave it a name: the Double V, victory abroad and victory at home.</w:t>
      </w:r>
    </w:p>
    <w:p>
      <w:pPr>
        <w:spacing w:after="160" w:line="288"/>
      </w:pPr>
      <w:r>
        <w:rPr>
          <w:rFonts w:ascii="Georgia" w:cs="Georgia" w:eastAsia="Georgia" w:hAnsi="Georgia"/>
          <w:color w:val="2A1410"/>
          <w:sz w:val="24"/>
          <w:szCs w:val="24"/>
        </w:rPr>
        <w:t xml:space="preserve">That generation of veterans, together with the NAACP and its patient legal strategy, turned the contradiction into a campaign. The lawyers, led by Thurgood Marshall, chose their ground carefully and went after the legal foundation of segregation itself — the doctrine that separate could be equal.</w:t>
      </w:r>
    </w:p>
    <w:p>
      <w:pPr>
        <w:pBdr>
          <w:bottom w:val="single" w:color="C08552" w:sz="4" w:space="4"/>
        </w:pBdr>
        <w:spacing w:after="140" w:before="300"/>
      </w:pPr>
      <w:r>
        <w:rPr>
          <w:rFonts w:ascii="Georgia" w:cs="Georgia" w:eastAsia="Georgia" w:hAnsi="Georgia"/>
          <w:b/>
          <w:bCs/>
          <w:color w:val="4A2222"/>
          <w:sz w:val="29"/>
          <w:szCs w:val="29"/>
        </w:rPr>
        <w:t xml:space="preserve">Brown v. Board of Education (1954)</w:t>
      </w:r>
    </w:p>
    <w:p>
      <w:pPr>
        <w:spacing w:after="160" w:line="288"/>
      </w:pPr>
      <w:r>
        <w:rPr>
          <w:rFonts w:ascii="Georgia" w:cs="Georgia" w:eastAsia="Georgia" w:hAnsi="Georgia"/>
          <w:color w:val="2A1410"/>
          <w:sz w:val="24"/>
          <w:szCs w:val="24"/>
        </w:rPr>
        <w:t xml:space="preserve">In 1954 the Supreme Court handed down Brown v. Board of Education of Topeka, and the ground shifted. A unanimous Court ruled that separate educational facilities are inherently unequal — overturning, at last, the “separate but equal” doctrine that had stood since Plessy v. Ferguson in 1896. On paper, segregated schooling was finished.</w:t>
      </w:r>
    </w:p>
    <w:p>
      <w:pPr>
        <w:spacing w:after="160" w:line="288"/>
      </w:pPr>
      <w:r>
        <w:rPr>
          <w:rFonts w:ascii="Georgia" w:cs="Georgia" w:eastAsia="Georgia" w:hAnsi="Georgia"/>
          <w:color w:val="2A1410"/>
          <w:sz w:val="24"/>
          <w:szCs w:val="24"/>
        </w:rPr>
        <w:t xml:space="preserve">On the ground, it was war. Much of the white South answered with “massive resistance” — closing schools rather than integrating, pledging defiance, threatening anyone who complied. Brown was a legal earthquake, but it also proved that a court ruling is only as strong as the willingness to enforce it. The movement had won the principle; now it had to win the country.</w:t>
      </w:r>
    </w:p>
    <w:p>
      <w:pPr>
        <w:pBdr>
          <w:bottom w:val="single" w:color="C08552" w:sz="4" w:space="4"/>
        </w:pBdr>
        <w:spacing w:after="140" w:before="300"/>
      </w:pPr>
      <w:r>
        <w:rPr>
          <w:rFonts w:ascii="Georgia" w:cs="Georgia" w:eastAsia="Georgia" w:hAnsi="Georgia"/>
          <w:b/>
          <w:bCs/>
          <w:color w:val="4A2222"/>
          <w:sz w:val="29"/>
          <w:szCs w:val="29"/>
        </w:rPr>
        <w:t xml:space="preserve">Emmett Till (1955)</w:t>
      </w:r>
    </w:p>
    <w:p>
      <w:pPr>
        <w:spacing w:after="160" w:line="288"/>
      </w:pPr>
      <w:r>
        <w:rPr>
          <w:rFonts w:ascii="Georgia" w:cs="Georgia" w:eastAsia="Georgia" w:hAnsi="Georgia"/>
          <w:color w:val="2A1410"/>
          <w:sz w:val="24"/>
          <w:szCs w:val="24"/>
        </w:rPr>
        <w:t xml:space="preserve">In the summer of 1955, a fourteen-year-old boy from Chicago named Emmett Till was visiting family in Mississippi when he was accused of offending a white woman. Two white men took him, tortured him, and murdered him. An all-white jury acquitted them in barely an hour; protected by double jeopardy, the men later admitted it in a magazine.</w:t>
      </w:r>
    </w:p>
    <w:p>
      <w:pPr>
        <w:spacing w:after="160" w:line="288"/>
      </w:pPr>
      <w:r>
        <w:rPr>
          <w:rFonts w:ascii="Georgia" w:cs="Georgia" w:eastAsia="Georgia" w:hAnsi="Georgia"/>
          <w:color w:val="2A1410"/>
          <w:sz w:val="24"/>
          <w:szCs w:val="24"/>
        </w:rPr>
        <w:t xml:space="preserve">What made Till’s murder a turning point was his mother’s decision. Mamie Till-Mobley insisted on an open casket, so that the world would see exactly what had been done to her child. The photographs ran in Black publications and were seen by millions. She turned unspeakable private grief into public witness, and a generation of young people who would lead the coming struggle later said they never forgot it.</w:t>
      </w:r>
    </w:p>
    <w:p>
      <w:pPr>
        <w:pBdr>
          <w:bottom w:val="single" w:color="C08552" w:sz="4" w:space="4"/>
        </w:pBdr>
        <w:spacing w:after="140" w:before="300"/>
      </w:pPr>
      <w:r>
        <w:rPr>
          <w:rFonts w:ascii="Georgia" w:cs="Georgia" w:eastAsia="Georgia" w:hAnsi="Georgia"/>
          <w:b/>
          <w:bCs/>
          <w:color w:val="4A2222"/>
          <w:sz w:val="29"/>
          <w:szCs w:val="29"/>
        </w:rPr>
        <w:t xml:space="preserve">Montgomery and Little Rock (1955–1957)</w:t>
      </w:r>
    </w:p>
    <w:p>
      <w:pPr>
        <w:spacing w:after="160" w:line="288"/>
      </w:pPr>
      <w:r>
        <w:rPr>
          <w:rFonts w:ascii="Georgia" w:cs="Georgia" w:eastAsia="Georgia" w:hAnsi="Georgia"/>
          <w:color w:val="2A1410"/>
          <w:sz w:val="24"/>
          <w:szCs w:val="24"/>
        </w:rPr>
        <w:t xml:space="preserve">Months after Till’s murder, in Montgomery, Alabama, Rosa Parks refused to give up her bus seat, and the Black community answered by refusing to ride at all. The Montgomery Bus Boycott lasted more than a year, sustained by ordinary people who walked to work through every kind of weather, and it introduced the nation to a young minister named Martin Luther King Jr. and to the discipline of nonviolent mass action.</w:t>
      </w:r>
    </w:p>
    <w:p>
      <w:pPr>
        <w:spacing w:after="160" w:line="288"/>
      </w:pPr>
      <w:r>
        <w:rPr>
          <w:rFonts w:ascii="Georgia" w:cs="Georgia" w:eastAsia="Georgia" w:hAnsi="Georgia"/>
          <w:color w:val="2A1410"/>
          <w:sz w:val="24"/>
          <w:szCs w:val="24"/>
        </w:rPr>
        <w:t xml:space="preserve">Then in 1957, nine Black students prepared to enter all-white Central High School in Little Rock, Arkansas. The governor sent the National Guard to block them; a mob gathered. President Eisenhower — reluctant, but unwilling to let a governor defy the Constitution — sent federal troops to escort the Little Rock Nine into the building. For the first time since Reconstruction, federal power stood, in the street, on the side of Black citizens. The foundation was laid.</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Brown was a courtroom victory; Montgomery was a victory in the streets; Little Rock required soldiers. Write a page on how change actually happened in this first phase of the movement — through law, through mass action, or through federal force — and which of the three you think mattered most. Or make the harder argument: that none of them worked without the others. Use the specific events in this reading, and don’t flatten how hard-won each one was.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Black veterans fought fascism abroad and returned to Jim Crow at home. How do you think that contradiction shaped the generation that launched the movement?</w:t>
      </w:r>
    </w:p>
    <w:p>
      <w:pPr>
        <w:pStyle w:val="ListParagraph"/>
        <w:numPr>
          <w:ilvl w:val="0"/>
          <w:numId w:val="2"/>
        </w:numPr>
        <w:spacing w:after="130" w:line="288"/>
      </w:pPr>
      <w:r>
        <w:rPr>
          <w:rFonts w:ascii="Georgia" w:cs="Georgia" w:eastAsia="Georgia" w:hAnsi="Georgia"/>
          <w:color w:val="2A1410"/>
          <w:sz w:val="24"/>
          <w:szCs w:val="24"/>
        </w:rPr>
        <w:t xml:space="preserve">Brown declared school segregation unconstitutional, and much of the South simply refused. What does that tell you about the difference between winning a right and securing it?</w:t>
      </w:r>
    </w:p>
    <w:p>
      <w:pPr>
        <w:pStyle w:val="ListParagraph"/>
        <w:numPr>
          <w:ilvl w:val="0"/>
          <w:numId w:val="2"/>
        </w:numPr>
        <w:spacing w:after="130" w:line="288"/>
      </w:pPr>
      <w:r>
        <w:rPr>
          <w:rFonts w:ascii="Georgia" w:cs="Georgia" w:eastAsia="Georgia" w:hAnsi="Georgia"/>
          <w:color w:val="2A1410"/>
          <w:sz w:val="24"/>
          <w:szCs w:val="24"/>
        </w:rPr>
        <w:t xml:space="preserve">Mamie Till-Mobley chose to make her son’s murder visible to the world. Why can bearing witness to something terrible do what argument alone cannot?</w:t>
      </w:r>
    </w:p>
    <w:p>
      <w:pPr>
        <w:pStyle w:val="ListParagraph"/>
        <w:numPr>
          <w:ilvl w:val="0"/>
          <w:numId w:val="2"/>
        </w:numPr>
        <w:spacing w:after="130" w:line="288"/>
      </w:pPr>
      <w:r>
        <w:rPr>
          <w:rFonts w:ascii="Georgia" w:cs="Georgia" w:eastAsia="Georgia" w:hAnsi="Georgia"/>
          <w:color w:val="2A1410"/>
          <w:sz w:val="24"/>
          <w:szCs w:val="24"/>
        </w:rPr>
        <w:t xml:space="preserve">At Little Rock, federal troops enforced integration for the first time since Reconstruction. Why did it take soldiers — and what changed once the federal government was willing to send them?</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6, The Long Struggle.</w:t>
      </w:r>
      <w:r>
        <w:rPr>
          <w:rFonts w:ascii="Georgia" w:cs="Georgia" w:eastAsia="Georgia" w:hAnsi="Georgia"/>
          <w:color w:val="2A1410"/>
          <w:sz w:val="24"/>
          <w:szCs w:val="24"/>
        </w:rPr>
        <w:t xml:space="preserve"> This is the freedom struggle’s modern opening — the direct continuation of the fight begun after emancipation.</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5, </w:t>
      </w:r>
      <w:r>
        <w:rPr>
          <w:rFonts w:ascii="Georgia" w:cs="Georgia" w:eastAsia="Georgia" w:hAnsi="Georgia"/>
          <w:i/>
          <w:iCs/>
          <w:color w:val="2A1410"/>
          <w:sz w:val="24"/>
          <w:szCs w:val="24"/>
        </w:rPr>
        <w:t xml:space="preserve">The Affluent Society and Its Fault Lines</w:t>
      </w:r>
      <w:r>
        <w:rPr>
          <w:rFonts w:ascii="Georgia" w:cs="Georgia" w:eastAsia="Georgia" w:hAnsi="Georgia"/>
          <w:color w:val="2A1410"/>
          <w:sz w:val="24"/>
          <w:szCs w:val="24"/>
        </w:rPr>
        <w:t xml:space="preserve"> — the exclusions this movement rose to answer.</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7, </w:t>
      </w:r>
      <w:r>
        <w:rPr>
          <w:rFonts w:ascii="Georgia" w:cs="Georgia" w:eastAsia="Georgia" w:hAnsi="Georgia"/>
          <w:i/>
          <w:iCs/>
          <w:color w:val="2A1410"/>
          <w:sz w:val="24"/>
          <w:szCs w:val="24"/>
        </w:rPr>
        <w:t xml:space="preserve">The Brink and the Globe</w:t>
      </w:r>
      <w:r>
        <w:rPr>
          <w:rFonts w:ascii="Georgia" w:cs="Georgia" w:eastAsia="Georgia" w:hAnsi="Georgia"/>
          <w:color w:val="2A1410"/>
          <w:sz w:val="24"/>
          <w:szCs w:val="24"/>
        </w:rPr>
        <w:t xml:space="preserve">, which turns to the wider Cold War world.</w:t>
      </w:r>
    </w:p>
    <w:p>
      <w:pPr>
        <w:pStyle w:val="ListParagraph"/>
        <w:numPr>
          <w:ilvl w:val="0"/>
          <w:numId w:val="2"/>
        </w:numPr>
        <w:spacing w:after="130" w:line="288"/>
      </w:pPr>
      <w:r>
        <w:rPr>
          <w:rFonts w:ascii="Georgia" w:cs="Georgia" w:eastAsia="Georgia" w:hAnsi="Georgia"/>
          <w:b/>
          <w:bCs/>
          <w:color w:val="2A1410"/>
          <w:sz w:val="24"/>
          <w:szCs w:val="24"/>
        </w:rPr>
        <w:t xml:space="preserve">Looking ahead — </w:t>
      </w:r>
      <w:r>
        <w:rPr>
          <w:rFonts w:ascii="Georgia" w:cs="Georgia" w:eastAsia="Georgia" w:hAnsi="Georgia"/>
          <w:color w:val="2A1410"/>
          <w:sz w:val="24"/>
          <w:szCs w:val="24"/>
        </w:rPr>
        <w:t xml:space="preserve">the movement’s peak arrives at Steps 10–11.</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2026-07-03T22:14:12.345Z</dcterms:created>
  <dcterms:modified xsi:type="dcterms:W3CDTF">2026-07-03T22:14:12.345Z</dcterms:modified>
</cp:coreProperties>
</file>

<file path=docProps/custom.xml><?xml version="1.0" encoding="utf-8"?>
<Properties xmlns="http://schemas.openxmlformats.org/officeDocument/2006/custom-properties" xmlns:vt="http://schemas.openxmlformats.org/officeDocument/2006/docPropsVTypes"/>
</file>