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From Protest to Power, and Outward</w:t>
      </w:r>
    </w:p>
    <w:p>
      <w:pPr>
        <w:spacing w:after="60"/>
        <w:jc w:val="center"/>
      </w:pPr>
      <w:r>
        <w:rPr>
          <w:rFonts w:ascii="Georgia" w:cs="Georgia" w:eastAsia="Georgia" w:hAnsi="Georgia"/>
          <w:i/>
          <w:iCs/>
          <w:color w:val="C08552"/>
          <w:sz w:val="26"/>
          <w:szCs w:val="26"/>
        </w:rPr>
        <w:t xml:space="preserve">A Bridge Reading · Track B</w:t>
      </w:r>
    </w:p>
    <w:p>
      <w:pPr>
        <w:spacing w:after="220"/>
        <w:jc w:val="center"/>
      </w:pPr>
      <w:r>
        <w:rPr>
          <w:rFonts w:ascii="Georgia" w:cs="Georgia" w:eastAsia="Georgia" w:hAnsi="Georgia"/>
          <w:color w:val="5C2C2C"/>
          <w:sz w:val="19"/>
          <w:szCs w:val="19"/>
        </w:rPr>
        <w:t xml:space="preserve">Step 11 of 15  ·  a bridge reading</w:t>
      </w:r>
    </w:p>
    <w:p>
      <w:pPr>
        <w:pBdr>
          <w:bottom w:val="single" w:color="C08552" w:sz="8" w:space="1"/>
        </w:pBdr>
        <w:spacing w:after="200" w:before="60"/>
      </w:pPr>
      <w:r>
        <w:rPr>
          <w:rFonts w:ascii="Georgia" w:cs="Georgia" w:eastAsia="Georgia" w:hAnsi="Georgia"/>
          <w:color w:val="2A1410"/>
          <w:sz w:val="24"/>
          <w:szCs w:val="24"/>
        </w:rPr>
        <w:t xml:space="preserve"/>
      </w:r>
    </w:p>
    <w:p>
      <w:pPr>
        <w:pBdr>
          <w:left w:val="single" w:color="6E7E66" w:sz="20" w:space="18"/>
        </w:pBdr>
        <w:shd w:fill="EEF2EB" w:val="clear"/>
        <w:spacing w:after="200" w:before="90" w:line="300"/>
        <w:ind w:left="360" w:right="140"/>
      </w:pPr>
      <w:r>
        <w:rPr>
          <w:rFonts w:ascii="Georgia" w:cs="Georgia" w:eastAsia="Georgia" w:hAnsi="Georgia"/>
          <w:b/>
          <w:bCs/>
          <w:color w:val="5C2C2C"/>
          <w:sz w:val="23"/>
          <w:szCs w:val="23"/>
        </w:rPr>
        <w:t xml:space="preserve">Why this reading is in your path.  </w:t>
      </w:r>
      <w:r>
        <w:rPr>
          <w:rFonts w:ascii="Georgia" w:cs="Georgia" w:eastAsia="Georgia" w:hAnsi="Georgia"/>
          <w:color w:val="2A1410"/>
          <w:sz w:val="24"/>
          <w:szCs w:val="24"/>
        </w:rPr>
        <w:t xml:space="preserve">Winning the great laws did not end the struggle — it changed it. This reading covers the movement’s </w:t>
      </w:r>
      <w:r>
        <w:rPr>
          <w:rFonts w:ascii="Georgia" w:cs="Georgia" w:eastAsia="Georgia" w:hAnsi="Georgia"/>
          <w:b/>
          <w:bCs/>
          <w:color w:val="2A1410"/>
          <w:sz w:val="24"/>
          <w:szCs w:val="24"/>
        </w:rPr>
        <w:t xml:space="preserve">second act</w:t>
      </w:r>
      <w:r>
        <w:rPr>
          <w:rFonts w:ascii="Georgia" w:cs="Georgia" w:eastAsia="Georgia" w:hAnsi="Georgia"/>
          <w:color w:val="2A1410"/>
          <w:sz w:val="24"/>
          <w:szCs w:val="24"/>
        </w:rPr>
        <w:t xml:space="preserve">: the shift from nonviolent integration toward Black Power and self-determination, and the way the Black freedom movement became the template that Chicano, Native American, Asian American, feminist, and gay liberation movements all borrowed from. It’s the story of a single struggle multiplying into many. You need it to understand both the energy behind the antiwar movement (next step) and the backlash that follows.</w:t>
      </w:r>
    </w:p>
    <w:p>
      <w:pPr>
        <w:pBdr>
          <w:bottom w:val="single" w:color="C08552" w:sz="4" w:space="4"/>
        </w:pBdr>
        <w:spacing w:after="140" w:before="300"/>
      </w:pPr>
      <w:r>
        <w:rPr>
          <w:rFonts w:ascii="Georgia" w:cs="Georgia" w:eastAsia="Georgia" w:hAnsi="Georgia"/>
          <w:b/>
          <w:bCs/>
          <w:color w:val="4A2222"/>
          <w:sz w:val="29"/>
          <w:szCs w:val="29"/>
        </w:rPr>
        <w:t xml:space="preserve">The students and the turn</w:t>
      </w:r>
    </w:p>
    <w:p>
      <w:pPr>
        <w:spacing w:after="160" w:line="288"/>
      </w:pPr>
      <w:r>
        <w:rPr>
          <w:rFonts w:ascii="Georgia" w:cs="Georgia" w:eastAsia="Georgia" w:hAnsi="Georgia"/>
          <w:color w:val="2A1410"/>
          <w:sz w:val="24"/>
          <w:szCs w:val="24"/>
        </w:rPr>
        <w:t xml:space="preserve">The early 1960s belonged to young people. Student sit-ins at segregated lunch counters, the Freedom Rides testing interstate buses, and Freedom Summer registering Black voters in Mississippi were organized largely by groups like SNCC (the Student Nonviolent Coordinating Committee) and CORE (the Congress of Racial Equality). They put their bodies on the line, and many paid with beatings, jail, and their lives.</w:t>
      </w:r>
    </w:p>
    <w:p>
      <w:pPr>
        <w:spacing w:after="160" w:line="288"/>
      </w:pPr>
      <w:r>
        <w:rPr>
          <w:rFonts w:ascii="Georgia" w:cs="Georgia" w:eastAsia="Georgia" w:hAnsi="Georgia"/>
          <w:color w:val="2A1410"/>
          <w:sz w:val="24"/>
          <w:szCs w:val="24"/>
        </w:rPr>
        <w:t xml:space="preserve">But by the mid-1960s, patience was wearing thin. The laws had passed and the poverty, the police violence, and the daily humiliations largely remained — especially in the Northern cities the movement’s early victories had barely touched. Younger activists began to ask what nonviolence and integration had really delivered, and whether appealing to the conscience of white America was worth the cost.</w:t>
      </w:r>
    </w:p>
    <w:p>
      <w:pPr>
        <w:pBdr>
          <w:bottom w:val="single" w:color="C08552" w:sz="4" w:space="4"/>
        </w:pBdr>
        <w:spacing w:after="140" w:before="300"/>
      </w:pPr>
      <w:r>
        <w:rPr>
          <w:rFonts w:ascii="Georgia" w:cs="Georgia" w:eastAsia="Georgia" w:hAnsi="Georgia"/>
          <w:b/>
          <w:bCs/>
          <w:color w:val="4A2222"/>
          <w:sz w:val="29"/>
          <w:szCs w:val="29"/>
        </w:rPr>
        <w:t xml:space="preserve">Black Power</w:t>
      </w:r>
    </w:p>
    <w:p>
      <w:pPr>
        <w:spacing w:after="160" w:line="288"/>
      </w:pPr>
      <w:r>
        <w:rPr>
          <w:rFonts w:ascii="Georgia" w:cs="Georgia" w:eastAsia="Georgia" w:hAnsi="Georgia"/>
          <w:color w:val="2A1410"/>
          <w:sz w:val="24"/>
          <w:szCs w:val="24"/>
        </w:rPr>
        <w:t xml:space="preserve">Out of that frustration came a different vision. Where the early movement sought integration and appealed to shared conscience, Black Power emphasized self-determination, pride, economic independence, and, where necessary, armed self-defense. Malcolm X had articulated much of it before his assassination in 1965; the Black Panther Party organized it into free breakfast programs, community patrols, and a politics that refused to ask permission.</w:t>
      </w:r>
    </w:p>
    <w:p>
      <w:pPr>
        <w:spacing w:after="160" w:line="288"/>
      </w:pPr>
      <w:r>
        <w:rPr>
          <w:rFonts w:ascii="Georgia" w:cs="Georgia" w:eastAsia="Georgia" w:hAnsi="Georgia"/>
          <w:color w:val="2A1410"/>
          <w:sz w:val="24"/>
          <w:szCs w:val="24"/>
        </w:rPr>
        <w:t xml:space="preserve">Name the debate honestly, because it is a real one and it never fully resolved: was the path to freedom integration into American society, or the building of independent Black power outside it? The movement contained both answers, in tension, and that tension was a sign of its seriousness, not its failure.</w:t>
      </w:r>
    </w:p>
    <w:p>
      <w:pPr>
        <w:pBdr>
          <w:bottom w:val="single" w:color="C08552" w:sz="4" w:space="4"/>
        </w:pBdr>
        <w:spacing w:after="140" w:before="300"/>
      </w:pPr>
      <w:r>
        <w:rPr>
          <w:rFonts w:ascii="Georgia" w:cs="Georgia" w:eastAsia="Georgia" w:hAnsi="Georgia"/>
          <w:b/>
          <w:bCs/>
          <w:color w:val="4A2222"/>
          <w:sz w:val="29"/>
          <w:szCs w:val="29"/>
        </w:rPr>
        <w:t xml:space="preserve">The movement multiplies</w:t>
      </w:r>
    </w:p>
    <w:p>
      <w:pPr>
        <w:spacing w:after="160" w:line="288"/>
      </w:pPr>
      <w:r>
        <w:rPr>
          <w:rFonts w:ascii="Georgia" w:cs="Georgia" w:eastAsia="Georgia" w:hAnsi="Georgia"/>
          <w:color w:val="2A1410"/>
          <w:sz w:val="24"/>
          <w:szCs w:val="24"/>
        </w:rPr>
        <w:t xml:space="preserve">The Black freedom struggle became a template, and across the 1960s and 1970s other excluded groups took up its tactics and its language. Mexican American farmworkers, led by César Chávez and Dolores Huerta, built the United Farm Workers and the grape boycott; a broader Chicano movement claimed political and cultural power. The American Indian Movement asserted Red Power — occupying Alcatraz, standing at Wounded Knee — and demanded treaty rights and sovereignty. Asian American activists organized against exclusion and for recognition.</w:t>
      </w:r>
    </w:p>
    <w:p>
      <w:pPr>
        <w:spacing w:after="160" w:line="288"/>
      </w:pPr>
      <w:r>
        <w:rPr>
          <w:rFonts w:ascii="Georgia" w:cs="Georgia" w:eastAsia="Georgia" w:hAnsi="Georgia"/>
          <w:color w:val="2A1410"/>
          <w:sz w:val="24"/>
          <w:szCs w:val="24"/>
        </w:rPr>
        <w:t xml:space="preserve">Each borrowed from the Black movement the essential insight: that dignity is claimed, not granted, and that an organized people can force a country to see them. What had begun as one struggle had become a wave.</w:t>
      </w:r>
    </w:p>
    <w:p>
      <w:pPr>
        <w:pBdr>
          <w:bottom w:val="single" w:color="C08552" w:sz="4" w:space="4"/>
        </w:pBdr>
        <w:spacing w:after="140" w:before="300"/>
      </w:pPr>
      <w:r>
        <w:rPr>
          <w:rFonts w:ascii="Georgia" w:cs="Georgia" w:eastAsia="Georgia" w:hAnsi="Georgia"/>
          <w:b/>
          <w:bCs/>
          <w:color w:val="4A2222"/>
          <w:sz w:val="29"/>
          <w:szCs w:val="29"/>
        </w:rPr>
        <w:t xml:space="preserve">Second-wave feminism and liberation</w:t>
      </w:r>
    </w:p>
    <w:p>
      <w:pPr>
        <w:spacing w:after="160" w:line="288"/>
      </w:pPr>
      <w:r>
        <w:rPr>
          <w:rFonts w:ascii="Georgia" w:cs="Georgia" w:eastAsia="Georgia" w:hAnsi="Georgia"/>
          <w:color w:val="2A1410"/>
          <w:sz w:val="24"/>
          <w:szCs w:val="24"/>
        </w:rPr>
        <w:t xml:space="preserve">The largest of these movements remade the lives of half the population. Second-wave feminism challenged the confinement described back in Step 5 — the assumption that a woman’s place was the home. Through organizations like NOW, the fight for the Equal Rights Amendment, the demand for reproductive rights, and the quiet revolution of consciousness-raising groups, women pressed for equality in work, education, and law.</w:t>
      </w:r>
    </w:p>
    <w:p>
      <w:pPr>
        <w:spacing w:after="160" w:line="288"/>
      </w:pPr>
      <w:r>
        <w:rPr>
          <w:rFonts w:ascii="Georgia" w:cs="Georgia" w:eastAsia="Georgia" w:hAnsi="Georgia"/>
          <w:color w:val="2A1410"/>
          <w:sz w:val="24"/>
          <w:szCs w:val="24"/>
        </w:rPr>
        <w:t xml:space="preserve">And in 1969, a police raid on the Stonewall Inn in New York sparked days of resistance and launched the modern gay liberation movement. By the end of the 1970s, the idea of liberation — that a group named as lesser could organize, name its own dignity, and demand the country change — had spread further than anyone in 1945 could have imagined. That widening is this Period’s deepest legacy.</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spacing w:after="160" w:line="288"/>
      </w:pPr>
      <w:r>
        <w:rPr>
          <w:rFonts w:ascii="Georgia" w:cs="Georgia" w:eastAsia="Georgia" w:hAnsi="Georgia"/>
          <w:color w:val="2A1410"/>
          <w:sz w:val="24"/>
          <w:szCs w:val="24"/>
        </w:rPr>
        <w:t xml:space="preserve">The movement contained two answers to the same question: integration into American society, or the building of independent power outside it. Write a page taking that debate seriously from both sides — not deciding who was “right,” but showing what each path saw that the other missed. Then extend it: how did that same question echo through the Chicano, Native American, feminist, and gay liberation movements? Use specific people and moments from the reading.</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Questions to Sit With</w:t>
      </w:r>
    </w:p>
    <w:p>
      <w:pPr>
        <w:pStyle w:val="ListParagraph"/>
        <w:numPr>
          <w:ilvl w:val="0"/>
          <w:numId w:val="2"/>
        </w:numPr>
        <w:spacing w:after="130" w:line="288"/>
      </w:pPr>
      <w:r>
        <w:rPr>
          <w:rFonts w:ascii="Georgia" w:cs="Georgia" w:eastAsia="Georgia" w:hAnsi="Georgia"/>
          <w:color w:val="2A1410"/>
          <w:sz w:val="24"/>
          <w:szCs w:val="24"/>
        </w:rPr>
        <w:t xml:space="preserve">By the mid-1960s, younger activists asked what nonviolence and integration had actually delivered. Was that a betrayal of the early movement or its logical next step?</w:t>
      </w:r>
    </w:p>
    <w:p>
      <w:pPr>
        <w:pStyle w:val="ListParagraph"/>
        <w:numPr>
          <w:ilvl w:val="0"/>
          <w:numId w:val="2"/>
        </w:numPr>
        <w:spacing w:after="130" w:line="288"/>
      </w:pPr>
      <w:r>
        <w:rPr>
          <w:rFonts w:ascii="Georgia" w:cs="Georgia" w:eastAsia="Georgia" w:hAnsi="Georgia"/>
          <w:color w:val="2A1410"/>
          <w:sz w:val="24"/>
          <w:szCs w:val="24"/>
        </w:rPr>
        <w:t xml:space="preserve">Black Power and integration offered rival paths to freedom. Why might a movement be stronger for containing both, rather than settling on one?</w:t>
      </w:r>
    </w:p>
    <w:p>
      <w:pPr>
        <w:pStyle w:val="ListParagraph"/>
        <w:numPr>
          <w:ilvl w:val="0"/>
          <w:numId w:val="2"/>
        </w:numPr>
        <w:spacing w:after="130" w:line="288"/>
      </w:pPr>
      <w:r>
        <w:rPr>
          <w:rFonts w:ascii="Georgia" w:cs="Georgia" w:eastAsia="Georgia" w:hAnsi="Georgia"/>
          <w:color w:val="2A1410"/>
          <w:sz w:val="24"/>
          <w:szCs w:val="24"/>
        </w:rPr>
        <w:t xml:space="preserve">So many later movements borrowed the Black freedom struggle’s tactics and language. What does that borrowing tell you about how social change spreads?</w:t>
      </w:r>
    </w:p>
    <w:p>
      <w:pPr>
        <w:pStyle w:val="ListParagraph"/>
        <w:numPr>
          <w:ilvl w:val="0"/>
          <w:numId w:val="2"/>
        </w:numPr>
        <w:spacing w:after="130" w:line="288"/>
      </w:pPr>
      <w:r>
        <w:rPr>
          <w:rFonts w:ascii="Georgia" w:cs="Georgia" w:eastAsia="Georgia" w:hAnsi="Georgia"/>
          <w:color w:val="2A1410"/>
          <w:sz w:val="24"/>
          <w:szCs w:val="24"/>
        </w:rPr>
        <w:t xml:space="preserve">The idea of “liberation” expanded to group after group across the 1970s. Which of these movements do you think changed daily American life the most, and why?</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 Movement 6, The Long Struggle.</w:t>
      </w:r>
      <w:r>
        <w:rPr>
          <w:rFonts w:ascii="Georgia" w:cs="Georgia" w:eastAsia="Georgia" w:hAnsi="Georgia"/>
          <w:color w:val="2A1410"/>
          <w:sz w:val="24"/>
          <w:szCs w:val="24"/>
        </w:rPr>
        <w:t xml:space="preserve"> This is the freedom struggle radicalizing and multiplying — the Movement’s widest reach.</w:t>
      </w:r>
    </w:p>
    <w:p>
      <w:pPr>
        <w:pStyle w:val="ListParagraph"/>
        <w:numPr>
          <w:ilvl w:val="0"/>
          <w:numId w:val="2"/>
        </w:numPr>
        <w:spacing w:after="130" w:line="288"/>
      </w:pPr>
      <w:r>
        <w:rPr>
          <w:rFonts w:ascii="Georgia" w:cs="Georgia" w:eastAsia="Georgia" w:hAnsi="Georgia"/>
          <w:b/>
          <w:bCs/>
          <w:color w:val="2A1410"/>
          <w:sz w:val="24"/>
          <w:szCs w:val="24"/>
        </w:rPr>
        <w:t xml:space="preserve">Prev → </w:t>
      </w:r>
      <w:r>
        <w:rPr>
          <w:rFonts w:ascii="Georgia" w:cs="Georgia" w:eastAsia="Georgia" w:hAnsi="Georgia"/>
          <w:color w:val="2A1410"/>
          <w:sz w:val="24"/>
          <w:szCs w:val="24"/>
        </w:rPr>
        <w:t xml:space="preserve">Step 10, </w:t>
      </w:r>
      <w:r>
        <w:rPr>
          <w:rFonts w:ascii="Georgia" w:cs="Georgia" w:eastAsia="Georgia" w:hAnsi="Georgia"/>
          <w:i/>
          <w:iCs/>
          <w:color w:val="2A1410"/>
          <w:sz w:val="24"/>
          <w:szCs w:val="24"/>
        </w:rPr>
        <w:t xml:space="preserve">The Liberal Hour</w:t>
      </w:r>
      <w:r>
        <w:rPr>
          <w:rFonts w:ascii="Georgia" w:cs="Georgia" w:eastAsia="Georgia" w:hAnsi="Georgia"/>
          <w:color w:val="2A1410"/>
          <w:sz w:val="24"/>
          <w:szCs w:val="24"/>
        </w:rPr>
        <w:t xml:space="preserve">, whose legislative victories set the stage for this turn.</w:t>
      </w:r>
    </w:p>
    <w:p>
      <w:pPr>
        <w:pStyle w:val="ListParagraph"/>
        <w:numPr>
          <w:ilvl w:val="0"/>
          <w:numId w:val="2"/>
        </w:numPr>
        <w:spacing w:after="130" w:line="288"/>
      </w:pPr>
      <w:r>
        <w:rPr>
          <w:rFonts w:ascii="Georgia" w:cs="Georgia" w:eastAsia="Georgia" w:hAnsi="Georgia"/>
          <w:b/>
          <w:bCs/>
          <w:color w:val="2A1410"/>
          <w:sz w:val="24"/>
          <w:szCs w:val="24"/>
        </w:rPr>
        <w:t xml:space="preserve">Next → </w:t>
      </w:r>
      <w:r>
        <w:rPr>
          <w:rFonts w:ascii="Georgia" w:cs="Georgia" w:eastAsia="Georgia" w:hAnsi="Georgia"/>
          <w:color w:val="2A1410"/>
          <w:sz w:val="24"/>
          <w:szCs w:val="24"/>
        </w:rPr>
        <w:t xml:space="preserve">Step 12, </w:t>
      </w:r>
      <w:r>
        <w:rPr>
          <w:rFonts w:ascii="Georgia" w:cs="Georgia" w:eastAsia="Georgia" w:hAnsi="Georgia"/>
          <w:i/>
          <w:iCs/>
          <w:color w:val="2A1410"/>
          <w:sz w:val="24"/>
          <w:szCs w:val="24"/>
        </w:rPr>
        <w:t xml:space="preserve">The Vietnam War</w:t>
      </w:r>
      <w:r>
        <w:rPr>
          <w:rFonts w:ascii="Georgia" w:cs="Georgia" w:eastAsia="Georgia" w:hAnsi="Georgia"/>
          <w:color w:val="2A1410"/>
          <w:sz w:val="24"/>
          <w:szCs w:val="24"/>
        </w:rPr>
        <w:t xml:space="preserve">, whose antiwar movement drew directly on this energy.</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2026-07-03T22:17:58.414Z</dcterms:created>
  <dcterms:modified xsi:type="dcterms:W3CDTF">2026-07-03T22:17:58.414Z</dcterms:modified>
</cp:coreProperties>
</file>

<file path=docProps/custom.xml><?xml version="1.0" encoding="utf-8"?>
<Properties xmlns="http://schemas.openxmlformats.org/officeDocument/2006/custom-properties" xmlns:vt="http://schemas.openxmlformats.org/officeDocument/2006/docPropsVTypes"/>
</file>