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Constitution on Trial</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Step 9 of 10  ·  a bridge reading</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Everything the course taught you about the Constitution — the Fourteenth Amendment, the separation of powers, the Bill of Rights — is not a museum piece. In the Supreme Court’s 2025–2026 term, every one of those clauses was argued, live, in cases decided within days of when you may be reading this. This step treats those decisions as what they are: </w:t>
      </w:r>
      <w:r>
        <w:rPr>
          <w:rFonts w:ascii="Georgia" w:cs="Georgia" w:eastAsia="Georgia" w:hAnsi="Georgia"/>
          <w:b/>
          <w:bCs/>
          <w:color w:val="2A1410"/>
          <w:sz w:val="24"/>
          <w:szCs w:val="24"/>
        </w:rPr>
        <w:t xml:space="preserve">primary sources</w:t>
      </w:r>
      <w:r>
        <w:rPr>
          <w:rFonts w:ascii="Georgia" w:cs="Georgia" w:eastAsia="Georgia" w:hAnsi="Georgia"/>
          <w:color w:val="2A1410"/>
          <w:sz w:val="24"/>
          <w:szCs w:val="24"/>
        </w:rPr>
        <w:t xml:space="preserve">, the Constitution being interpreted in real time. Your job here is the historian’s and the citizen’s at once — read the holding, find the clause, follow the reasoning on </w:t>
      </w:r>
      <w:r>
        <w:rPr>
          <w:rFonts w:ascii="Georgia" w:cs="Georgia" w:eastAsia="Georgia" w:hAnsi="Georgia"/>
          <w:i/>
          <w:iCs/>
          <w:color w:val="2A1410"/>
          <w:sz w:val="24"/>
          <w:szCs w:val="24"/>
        </w:rPr>
        <w:t xml:space="preserve">both</w:t>
      </w:r>
      <w:r>
        <w:rPr>
          <w:rFonts w:ascii="Georgia" w:cs="Georgia" w:eastAsia="Georgia" w:hAnsi="Georgia"/>
          <w:color w:val="2A1410"/>
          <w:sz w:val="24"/>
          <w:szCs w:val="24"/>
        </w:rPr>
        <w:t xml:space="preserve"> sides, and understand the argument. Not to be told what to think. To be equipped to think.</w:t>
      </w:r>
    </w:p>
    <w:p>
      <w:pPr>
        <w:pBdr>
          <w:bottom w:val="single" w:color="C08552" w:sz="4" w:space="4"/>
        </w:pBdr>
        <w:spacing w:after="140" w:before="300"/>
      </w:pPr>
      <w:r>
        <w:rPr>
          <w:rFonts w:ascii="Georgia" w:cs="Georgia" w:eastAsia="Georgia" w:hAnsi="Georgia"/>
          <w:b/>
          <w:bCs/>
          <w:color w:val="4A2222"/>
          <w:sz w:val="29"/>
          <w:szCs w:val="29"/>
        </w:rPr>
        <w:t xml:space="preserve">The Court as the arena</w:t>
      </w:r>
    </w:p>
    <w:p>
      <w:pPr>
        <w:spacing w:after="160" w:line="288"/>
      </w:pPr>
      <w:r>
        <w:rPr>
          <w:rFonts w:ascii="Georgia" w:cs="Georgia" w:eastAsia="Georgia" w:hAnsi="Georgia"/>
          <w:color w:val="2A1410"/>
          <w:sz w:val="24"/>
          <w:szCs w:val="24"/>
        </w:rPr>
        <w:t xml:space="preserve">In a divided country, the fights that Congress cannot settle and elections cannot end tend to land, finally, at the Supreme Court. That makes a Court term one of the clearest windows onto what a nation is actually arguing about — and the 2025–26 term was an unusually sharp one, testing the President’s power, the meaning of citizenship, the reach of equal protection, and the rules of democracy itself.</w:t>
      </w:r>
    </w:p>
    <w:p>
      <w:pPr>
        <w:spacing w:after="160" w:line="288"/>
      </w:pPr>
      <w:r>
        <w:rPr>
          <w:rFonts w:ascii="Georgia" w:cs="Georgia" w:eastAsia="Georgia" w:hAnsi="Georgia"/>
          <w:color w:val="2A1410"/>
          <w:sz w:val="24"/>
          <w:szCs w:val="24"/>
        </w:rPr>
        <w:t xml:space="preserve">Read these cases the way you have read every primary source in this course. Who is the author (which justices)? What exactly did they decide? What clause of the Constitution is at issue? What did the dissent say? A Supreme Court opinion is an argument with the losing side printed right underneath it — which makes it the ideal document for learning to hold a disagreement in your head.</w:t>
      </w:r>
    </w:p>
    <w:p>
      <w:pPr>
        <w:pBdr>
          <w:bottom w:val="single" w:color="C08552" w:sz="4" w:space="4"/>
        </w:pBdr>
        <w:spacing w:after="140" w:before="300"/>
      </w:pPr>
      <w:r>
        <w:rPr>
          <w:rFonts w:ascii="Georgia" w:cs="Georgia" w:eastAsia="Georgia" w:hAnsi="Georgia"/>
          <w:b/>
          <w:bCs/>
          <w:color w:val="4A2222"/>
          <w:sz w:val="29"/>
          <w:szCs w:val="29"/>
        </w:rPr>
        <w:t xml:space="preserve">Birthright citizenship: the Fourteenth Amendment, argued again</w:t>
      </w:r>
    </w:p>
    <w:p>
      <w:pPr>
        <w:spacing w:after="160" w:line="288"/>
      </w:pPr>
      <w:r>
        <w:rPr>
          <w:rFonts w:ascii="Georgia" w:cs="Georgia" w:eastAsia="Georgia" w:hAnsi="Georgia"/>
          <w:color w:val="2A1410"/>
          <w:sz w:val="24"/>
          <w:szCs w:val="24"/>
        </w:rPr>
        <w:t xml:space="preserve">In 2025 the President issued an executive order (EO 14160) directing that children born on U.S. soil to parents who were in the country unlawfully or temporarily would not be treated as citizens. It ran directly into the Fourteenth Amendment’s Citizenship Clause — the Reconstruction guarantee you met in Movement Five — which says that all persons born in the United States and “subject to the jurisdiction thereof” are citizens.</w:t>
      </w:r>
    </w:p>
    <w:p>
      <w:pPr>
        <w:spacing w:after="160" w:line="288"/>
      </w:pPr>
      <w:r>
        <w:rPr>
          <w:rFonts w:ascii="Georgia" w:cs="Georgia" w:eastAsia="Georgia" w:hAnsi="Georgia"/>
          <w:color w:val="2A1410"/>
          <w:sz w:val="24"/>
          <w:szCs w:val="24"/>
        </w:rPr>
        <w:t xml:space="preserve">In </w:t>
      </w:r>
      <w:r>
        <w:rPr>
          <w:rFonts w:ascii="Georgia" w:cs="Georgia" w:eastAsia="Georgia" w:hAnsi="Georgia"/>
          <w:b/>
          <w:bCs/>
          <w:color w:val="2A1410"/>
          <w:sz w:val="24"/>
          <w:szCs w:val="24"/>
        </w:rPr>
        <w:t xml:space="preserve">Trump v. Barbara</w:t>
      </w:r>
      <w:r>
        <w:rPr>
          <w:rFonts w:ascii="Georgia" w:cs="Georgia" w:eastAsia="Georgia" w:hAnsi="Georgia"/>
          <w:color w:val="2A1410"/>
          <w:sz w:val="24"/>
          <w:szCs w:val="24"/>
        </w:rPr>
        <w:t xml:space="preserve"> (decided June 30, 2026), the Court struck the order down by a vote of 6–3. Chief Justice Roberts, for the majority, grounded the decision in the amendment’s text and in the 1898 precedent </w:t>
      </w:r>
      <w:r>
        <w:rPr>
          <w:rFonts w:ascii="Georgia" w:cs="Georgia" w:eastAsia="Georgia" w:hAnsi="Georgia"/>
          <w:i/>
          <w:iCs/>
          <w:color w:val="2A1410"/>
          <w:sz w:val="24"/>
          <w:szCs w:val="24"/>
        </w:rPr>
        <w:t xml:space="preserve">United States v. Wong Kim Ark</w:t>
      </w:r>
      <w:r>
        <w:rPr>
          <w:rFonts w:ascii="Georgia" w:cs="Georgia" w:eastAsia="Georgia" w:hAnsi="Georgia"/>
          <w:color w:val="2A1410"/>
          <w:sz w:val="24"/>
          <w:szCs w:val="24"/>
        </w:rPr>
        <w:t xml:space="preserve">, which had already held that a child born on American soil to non-citizen parents is a citizen. Justice Thomas dissented at length, joined by Justice Gorsuch, arguing the amendment was meant more narrowly. Notice what this means: a clause written in 1868 to secure citizenship for the freed people was, in 2026, the exact instrument that decided the case — the past is not past. This is Movement Five, still binding.</w:t>
      </w:r>
    </w:p>
    <w:p>
      <w:pPr>
        <w:pBdr>
          <w:bottom w:val="single" w:color="C08552" w:sz="4" w:space="4"/>
        </w:pBdr>
        <w:spacing w:after="140" w:before="300"/>
      </w:pPr>
      <w:r>
        <w:rPr>
          <w:rFonts w:ascii="Georgia" w:cs="Georgia" w:eastAsia="Georgia" w:hAnsi="Georgia"/>
          <w:b/>
          <w:bCs/>
          <w:color w:val="4A2222"/>
          <w:sz w:val="29"/>
          <w:szCs w:val="29"/>
        </w:rPr>
        <w:t xml:space="preserve">The President’s power: the “unitary executive”</w:t>
      </w:r>
    </w:p>
    <w:p>
      <w:pPr>
        <w:spacing w:after="160" w:line="288"/>
      </w:pPr>
      <w:r>
        <w:rPr>
          <w:rFonts w:ascii="Georgia" w:cs="Georgia" w:eastAsia="Georgia" w:hAnsi="Georgia"/>
          <w:color w:val="2A1410"/>
          <w:sz w:val="24"/>
          <w:szCs w:val="24"/>
        </w:rPr>
        <w:t xml:space="preserve">The term’s biggest structural fight was over a deceptively small question: whom may a President fire? Since 1935, a precedent called </w:t>
      </w:r>
      <w:r>
        <w:rPr>
          <w:rFonts w:ascii="Georgia" w:cs="Georgia" w:eastAsia="Georgia" w:hAnsi="Georgia"/>
          <w:i/>
          <w:iCs/>
          <w:color w:val="2A1410"/>
          <w:sz w:val="24"/>
          <w:szCs w:val="24"/>
        </w:rPr>
        <w:t xml:space="preserve">Humphrey’s Executor</w:t>
      </w:r>
      <w:r>
        <w:rPr>
          <w:rFonts w:ascii="Georgia" w:cs="Georgia" w:eastAsia="Georgia" w:hAnsi="Georgia"/>
          <w:color w:val="2A1410"/>
          <w:sz w:val="24"/>
          <w:szCs w:val="24"/>
        </w:rPr>
        <w:t xml:space="preserve"> had let Congress protect the leaders of independent agencies — like the Federal Trade Commission — from being fired at will, so they could regulate without fear of the White House. In </w:t>
      </w:r>
      <w:r>
        <w:rPr>
          <w:rFonts w:ascii="Georgia" w:cs="Georgia" w:eastAsia="Georgia" w:hAnsi="Georgia"/>
          <w:b/>
          <w:bCs/>
          <w:color w:val="2A1410"/>
          <w:sz w:val="24"/>
          <w:szCs w:val="24"/>
        </w:rPr>
        <w:t xml:space="preserve">Trump v. Slaughter</w:t>
      </w:r>
      <w:r>
        <w:rPr>
          <w:rFonts w:ascii="Georgia" w:cs="Georgia" w:eastAsia="Georgia" w:hAnsi="Georgia"/>
          <w:color w:val="2A1410"/>
          <w:sz w:val="24"/>
          <w:szCs w:val="24"/>
        </w:rPr>
        <w:t xml:space="preserve"> (June 2026), the Court overturned that ninety-year-old precedent, 6–3, holding that the President may remove such officials at will.</w:t>
      </w:r>
    </w:p>
    <w:p>
      <w:pPr>
        <w:spacing w:after="160" w:line="288"/>
      </w:pPr>
      <w:r>
        <w:rPr>
          <w:rFonts w:ascii="Georgia" w:cs="Georgia" w:eastAsia="Georgia" w:hAnsi="Georgia"/>
          <w:color w:val="2A1410"/>
          <w:sz w:val="24"/>
          <w:szCs w:val="24"/>
        </w:rPr>
        <w:t xml:space="preserve">This is the doctrine to learn by name: the </w:t>
      </w:r>
      <w:r>
        <w:rPr>
          <w:rFonts w:ascii="Georgia" w:cs="Georgia" w:eastAsia="Georgia" w:hAnsi="Georgia"/>
          <w:b/>
          <w:bCs/>
          <w:color w:val="2A1410"/>
          <w:sz w:val="24"/>
          <w:szCs w:val="24"/>
        </w:rPr>
        <w:t xml:space="preserve">unitary executive theory</w:t>
      </w:r>
      <w:r>
        <w:rPr>
          <w:rFonts w:ascii="Georgia" w:cs="Georgia" w:eastAsia="Georgia" w:hAnsi="Georgia"/>
          <w:color w:val="2A1410"/>
          <w:sz w:val="24"/>
          <w:szCs w:val="24"/>
        </w:rPr>
        <w:t xml:space="preserve"> — the idea that the Constitution places the </w:t>
      </w:r>
      <w:r>
        <w:rPr>
          <w:rFonts w:ascii="Georgia" w:cs="Georgia" w:eastAsia="Georgia" w:hAnsi="Georgia"/>
          <w:i/>
          <w:iCs/>
          <w:color w:val="2A1410"/>
          <w:sz w:val="24"/>
          <w:szCs w:val="24"/>
        </w:rPr>
        <w:t xml:space="preserve">entire</w:t>
      </w:r>
      <w:r>
        <w:rPr>
          <w:rFonts w:ascii="Georgia" w:cs="Georgia" w:eastAsia="Georgia" w:hAnsi="Georgia"/>
          <w:color w:val="2A1410"/>
          <w:sz w:val="24"/>
          <w:szCs w:val="24"/>
        </w:rPr>
        <w:t xml:space="preserve"> executive branch under the President’s personal control, with no independent islands inside it. In a companion case, </w:t>
      </w:r>
      <w:r>
        <w:rPr>
          <w:rFonts w:ascii="Georgia" w:cs="Georgia" w:eastAsia="Georgia" w:hAnsi="Georgia"/>
          <w:b/>
          <w:bCs/>
          <w:color w:val="2A1410"/>
          <w:sz w:val="24"/>
          <w:szCs w:val="24"/>
        </w:rPr>
        <w:t xml:space="preserve">Trump v. Cook</w:t>
      </w:r>
      <w:r>
        <w:rPr>
          <w:rFonts w:ascii="Georgia" w:cs="Georgia" w:eastAsia="Georgia" w:hAnsi="Georgia"/>
          <w:color w:val="2A1410"/>
          <w:sz w:val="24"/>
          <w:szCs w:val="24"/>
        </w:rPr>
        <w:t xml:space="preserve">, the Court shielded the Federal Reserve, ruling the President could not (for now) fire a Fed governor — reasoning that the central bank is a special case rooted in the tradition of the First and Second Banks and Alexander Hamilton. (That is the very thread the PBS panel in Step 8 pulled on: Hamilton’s design, still load-bearing.) Together the two rulings expand presidential power broadly while carving out one exception — a classic instance of the separation-of-powers argument the Framers began and no generation has finished.</w:t>
      </w:r>
    </w:p>
    <w:p>
      <w:pPr>
        <w:pBdr>
          <w:bottom w:val="single" w:color="C08552" w:sz="4" w:space="4"/>
        </w:pBdr>
        <w:spacing w:after="140" w:before="300"/>
      </w:pPr>
      <w:r>
        <w:rPr>
          <w:rFonts w:ascii="Georgia" w:cs="Georgia" w:eastAsia="Georgia" w:hAnsi="Georgia"/>
          <w:b/>
          <w:bCs/>
          <w:color w:val="4A2222"/>
          <w:sz w:val="29"/>
          <w:szCs w:val="29"/>
        </w:rPr>
        <w:t xml:space="preserve">Equal protection, and money as speech</w:t>
      </w:r>
    </w:p>
    <w:p>
      <w:pPr>
        <w:spacing w:after="160" w:line="288"/>
      </w:pPr>
      <w:r>
        <w:rPr>
          <w:rFonts w:ascii="Georgia" w:cs="Georgia" w:eastAsia="Georgia" w:hAnsi="Georgia"/>
          <w:color w:val="2A1410"/>
          <w:sz w:val="24"/>
          <w:szCs w:val="24"/>
        </w:rPr>
        <w:t xml:space="preserve">Two more rulings tested the Bill of Rights and the Fourteenth Amendment’s promise of “equal protection.” In </w:t>
      </w:r>
      <w:r>
        <w:rPr>
          <w:rFonts w:ascii="Georgia" w:cs="Georgia" w:eastAsia="Georgia" w:hAnsi="Georgia"/>
          <w:b/>
          <w:bCs/>
          <w:color w:val="2A1410"/>
          <w:sz w:val="24"/>
          <w:szCs w:val="24"/>
        </w:rPr>
        <w:t xml:space="preserve">West Virginia v. B.P.J.</w:t>
      </w:r>
      <w:r>
        <w:rPr>
          <w:rFonts w:ascii="Georgia" w:cs="Georgia" w:eastAsia="Georgia" w:hAnsi="Georgia"/>
          <w:color w:val="2A1410"/>
          <w:sz w:val="24"/>
          <w:szCs w:val="24"/>
        </w:rPr>
        <w:t xml:space="preserve"> and </w:t>
      </w:r>
      <w:r>
        <w:rPr>
          <w:rFonts w:ascii="Georgia" w:cs="Georgia" w:eastAsia="Georgia" w:hAnsi="Georgia"/>
          <w:b/>
          <w:bCs/>
          <w:color w:val="2A1410"/>
          <w:sz w:val="24"/>
          <w:szCs w:val="24"/>
        </w:rPr>
        <w:t xml:space="preserve">Little v. Hecox</w:t>
      </w:r>
      <w:r>
        <w:rPr>
          <w:rFonts w:ascii="Georgia" w:cs="Georgia" w:eastAsia="Georgia" w:hAnsi="Georgia"/>
          <w:color w:val="2A1410"/>
          <w:sz w:val="24"/>
          <w:szCs w:val="24"/>
        </w:rPr>
        <w:t xml:space="preserve"> (June 2026), the Court held 6–3 that states may bar transgender girls and women from female sports teams without violating either the Equal Protection Clause or Title IX, the 1972 law against sex discrimination in education — Justice Kavanaugh writing that eligibility may be based on biological sex. The case turns on a question the course has circled since Reconstruction: when the law treats two groups differently, when is that a permissible classification and when is it forbidden discrimination?</w:t>
      </w:r>
    </w:p>
    <w:p>
      <w:pPr>
        <w:spacing w:after="160" w:line="288"/>
      </w:pPr>
      <w:r>
        <w:rPr>
          <w:rFonts w:ascii="Georgia" w:cs="Georgia" w:eastAsia="Georgia" w:hAnsi="Georgia"/>
          <w:color w:val="2A1410"/>
          <w:sz w:val="24"/>
          <w:szCs w:val="24"/>
        </w:rPr>
        <w:t xml:space="preserve">In </w:t>
      </w:r>
      <w:r>
        <w:rPr>
          <w:rFonts w:ascii="Georgia" w:cs="Georgia" w:eastAsia="Georgia" w:hAnsi="Georgia"/>
          <w:b/>
          <w:bCs/>
          <w:color w:val="2A1410"/>
          <w:sz w:val="24"/>
          <w:szCs w:val="24"/>
        </w:rPr>
        <w:t xml:space="preserve">NRSC v. FEC</w:t>
      </w:r>
      <w:r>
        <w:rPr>
          <w:rFonts w:ascii="Georgia" w:cs="Georgia" w:eastAsia="Georgia" w:hAnsi="Georgia"/>
          <w:color w:val="2A1410"/>
          <w:sz w:val="24"/>
          <w:szCs w:val="24"/>
        </w:rPr>
        <w:t xml:space="preserve"> (June 2026), the Court struck down limits on how much political parties may spend in coordination with their candidates, 6–3, as a violation of the </w:t>
      </w:r>
      <w:r>
        <w:rPr>
          <w:rFonts w:ascii="Georgia" w:cs="Georgia" w:eastAsia="Georgia" w:hAnsi="Georgia"/>
          <w:b/>
          <w:bCs/>
          <w:color w:val="2A1410"/>
          <w:sz w:val="24"/>
          <w:szCs w:val="24"/>
        </w:rPr>
        <w:t xml:space="preserve">First Amendment</w:t>
      </w:r>
      <w:r>
        <w:rPr>
          <w:rFonts w:ascii="Georgia" w:cs="Georgia" w:eastAsia="Georgia" w:hAnsi="Georgia"/>
          <w:color w:val="2A1410"/>
          <w:sz w:val="24"/>
          <w:szCs w:val="24"/>
        </w:rPr>
        <w:t xml:space="preserve">. It extended a line of cases — most famously </w:t>
      </w:r>
      <w:r>
        <w:rPr>
          <w:rFonts w:ascii="Georgia" w:cs="Georgia" w:eastAsia="Georgia" w:hAnsi="Georgia"/>
          <w:i/>
          <w:iCs/>
          <w:color w:val="2A1410"/>
          <w:sz w:val="24"/>
          <w:szCs w:val="24"/>
        </w:rPr>
        <w:t xml:space="preserve">Citizens United</w:t>
      </w:r>
      <w:r>
        <w:rPr>
          <w:rFonts w:ascii="Georgia" w:cs="Georgia" w:eastAsia="Georgia" w:hAnsi="Georgia"/>
          <w:color w:val="2A1410"/>
          <w:sz w:val="24"/>
          <w:szCs w:val="24"/>
        </w:rPr>
        <w:t xml:space="preserve"> (2010) — built on the principle that spending money on political speech is itself protected speech. Note the through-line to Period 8: the limits the Court struck down had been enacted by Congress after the Watergate scandal. The reforms of one era, undone in another — history arguing with itself.</w:t>
      </w:r>
    </w:p>
    <w:p>
      <w:pPr>
        <w:pBdr>
          <w:bottom w:val="single" w:color="C08552" w:sz="4" w:space="4"/>
        </w:pBdr>
        <w:spacing w:after="140" w:before="300"/>
      </w:pPr>
      <w:r>
        <w:rPr>
          <w:rFonts w:ascii="Georgia" w:cs="Georgia" w:eastAsia="Georgia" w:hAnsi="Georgia"/>
          <w:b/>
          <w:bCs/>
          <w:color w:val="4A2222"/>
          <w:sz w:val="29"/>
          <w:szCs w:val="29"/>
        </w:rPr>
        <w:t xml:space="preserve">How to read a term</w:t>
      </w:r>
    </w:p>
    <w:p>
      <w:pPr>
        <w:spacing w:after="160" w:line="288"/>
      </w:pPr>
      <w:r>
        <w:rPr>
          <w:rFonts w:ascii="Georgia" w:cs="Georgia" w:eastAsia="Georgia" w:hAnsi="Georgia"/>
          <w:color w:val="2A1410"/>
          <w:sz w:val="24"/>
          <w:szCs w:val="24"/>
        </w:rPr>
        <w:t xml:space="preserve">Set these four cases side by side and a pattern of argument appears, not a slogan. In some, the Court expanded presidential power; in one, it checked it. In some, the majority read a clause broadly; in others, narrowly. Your task is not to cheer or boo but to ask, of each: what is the constitutional principle the majority is protecting, and what is the principle the dissent says it is sacrificing? Both opinions are written by people who took an oath to the same document.</w:t>
      </w:r>
    </w:p>
    <w:p>
      <w:pPr>
        <w:spacing w:after="160" w:line="288"/>
      </w:pPr>
      <w:r>
        <w:rPr>
          <w:rFonts w:ascii="Georgia" w:cs="Georgia" w:eastAsia="Georgia" w:hAnsi="Georgia"/>
          <w:color w:val="2A1410"/>
          <w:sz w:val="24"/>
          <w:szCs w:val="24"/>
        </w:rPr>
        <w:t xml:space="preserve">That is the civic skill this whole course was built to give you — the ability to read the country’s hardest arguments in the participants’ own words, to measure them against a text you now know, and to reason toward your own judgment without being handed one. The Constitution is not settled. It is argued, in every generation, by people who disagree in good faith and bad. You are now equipped to follow the argument — and, as a citizen, to join it.</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spacing w:after="160" w:line="288"/>
      </w:pPr>
      <w:r>
        <w:rPr>
          <w:rFonts w:ascii="Georgia" w:cs="Georgia" w:eastAsia="Georgia" w:hAnsi="Georgia"/>
          <w:color w:val="2A1410"/>
          <w:sz w:val="24"/>
          <w:szCs w:val="24"/>
        </w:rPr>
        <w:t xml:space="preserve">Choose one of these four cases. Write a page that does three things: state the </w:t>
      </w:r>
      <w:r>
        <w:rPr>
          <w:rFonts w:ascii="Georgia" w:cs="Georgia" w:eastAsia="Georgia" w:hAnsi="Georgia"/>
          <w:b/>
          <w:bCs/>
          <w:color w:val="2A1410"/>
          <w:sz w:val="24"/>
          <w:szCs w:val="24"/>
        </w:rPr>
        <w:t xml:space="preserve">clause</w:t>
      </w:r>
      <w:r>
        <w:rPr>
          <w:rFonts w:ascii="Georgia" w:cs="Georgia" w:eastAsia="Georgia" w:hAnsi="Georgia"/>
          <w:color w:val="2A1410"/>
          <w:sz w:val="24"/>
          <w:szCs w:val="24"/>
        </w:rPr>
        <w:t xml:space="preserve"> of the Constitution at issue and what it says; state the </w:t>
      </w:r>
      <w:r>
        <w:rPr>
          <w:rFonts w:ascii="Georgia" w:cs="Georgia" w:eastAsia="Georgia" w:hAnsi="Georgia"/>
          <w:b/>
          <w:bCs/>
          <w:color w:val="2A1410"/>
          <w:sz w:val="24"/>
          <w:szCs w:val="24"/>
        </w:rPr>
        <w:t xml:space="preserve">holding</w:t>
      </w:r>
      <w:r>
        <w:rPr>
          <w:rFonts w:ascii="Georgia" w:cs="Georgia" w:eastAsia="Georgia" w:hAnsi="Georgia"/>
          <w:color w:val="2A1410"/>
          <w:sz w:val="24"/>
          <w:szCs w:val="24"/>
        </w:rPr>
        <w:t xml:space="preserve"> and the majority’s reason for it; and state the </w:t>
      </w:r>
      <w:r>
        <w:rPr>
          <w:rFonts w:ascii="Georgia" w:cs="Georgia" w:eastAsia="Georgia" w:hAnsi="Georgia"/>
          <w:b/>
          <w:bCs/>
          <w:color w:val="2A1410"/>
          <w:sz w:val="24"/>
          <w:szCs w:val="24"/>
        </w:rPr>
        <w:t xml:space="preserve">dissent’s</w:t>
      </w:r>
      <w:r>
        <w:rPr>
          <w:rFonts w:ascii="Georgia" w:cs="Georgia" w:eastAsia="Georgia" w:hAnsi="Georgia"/>
          <w:color w:val="2A1410"/>
          <w:sz w:val="24"/>
          <w:szCs w:val="24"/>
        </w:rPr>
        <w:t xml:space="preserve"> strongest point. Then — and only then — give your own reasoned view of who had the better argument, tied to the text and to the history you’ve learned. This is the exact move the course has trained: go to the record, weigh both sides, and judge for yourself.</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In Trump v. Barbara, a clause written in 1868 for the freed people decided a 2026 case about immigration. What does that tell you about how a constitution written long ago governs a present its authors never imagined?</w:t>
      </w:r>
    </w:p>
    <w:p>
      <w:pPr>
        <w:pStyle w:val="ListParagraph"/>
        <w:numPr>
          <w:ilvl w:val="0"/>
          <w:numId w:val="2"/>
        </w:numPr>
        <w:spacing w:after="130" w:line="288"/>
      </w:pPr>
      <w:r>
        <w:rPr>
          <w:rFonts w:ascii="Georgia" w:cs="Georgia" w:eastAsia="Georgia" w:hAnsi="Georgia"/>
          <w:color w:val="2A1410"/>
          <w:sz w:val="24"/>
          <w:szCs w:val="24"/>
        </w:rPr>
        <w:t xml:space="preserve">The “unitary executive” theory would place the whole executive branch under one person’s control. What does that gain in accountability, and what does it risk — and why did the Framers divide power in the first place?</w:t>
      </w:r>
    </w:p>
    <w:p>
      <w:pPr>
        <w:pStyle w:val="ListParagraph"/>
        <w:numPr>
          <w:ilvl w:val="0"/>
          <w:numId w:val="2"/>
        </w:numPr>
        <w:spacing w:after="130" w:line="288"/>
      </w:pPr>
      <w:r>
        <w:rPr>
          <w:rFonts w:ascii="Georgia" w:cs="Georgia" w:eastAsia="Georgia" w:hAnsi="Georgia"/>
          <w:color w:val="2A1410"/>
          <w:sz w:val="24"/>
          <w:szCs w:val="24"/>
        </w:rPr>
        <w:t xml:space="preserve">NRSC v. FEC rests on the idea that spending money is a form of speech. Is it — and if money is speech, what happens to the voices of those who have little of it?</w:t>
      </w:r>
    </w:p>
    <w:p>
      <w:pPr>
        <w:pStyle w:val="ListParagraph"/>
        <w:numPr>
          <w:ilvl w:val="0"/>
          <w:numId w:val="2"/>
        </w:numPr>
        <w:spacing w:after="130" w:line="288"/>
      </w:pPr>
      <w:r>
        <w:rPr>
          <w:rFonts w:ascii="Georgia" w:cs="Georgia" w:eastAsia="Georgia" w:hAnsi="Georgia"/>
          <w:color w:val="2A1410"/>
          <w:sz w:val="24"/>
          <w:szCs w:val="24"/>
        </w:rPr>
        <w:t xml:space="preserve">In these cases the Court expanded presidential power in some and limited it in another. Is that inconsistency, or is it what a court reasoning case-by-case from principle should look like?</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 Movement 7, The Unfinished Present.</w:t>
      </w:r>
      <w:r>
        <w:rPr>
          <w:rFonts w:ascii="Georgia" w:cs="Georgia" w:eastAsia="Georgia" w:hAnsi="Georgia"/>
          <w:color w:val="2A1410"/>
          <w:sz w:val="24"/>
          <w:szCs w:val="24"/>
        </w:rPr>
        <w:t xml:space="preserve"> The founding documents, still being interpreted — the Republic arguing with itself in real time.</w:t>
      </w:r>
    </w:p>
    <w:p>
      <w:pPr>
        <w:pStyle w:val="ListParagraph"/>
        <w:numPr>
          <w:ilvl w:val="0"/>
          <w:numId w:val="2"/>
        </w:numPr>
        <w:spacing w:after="130" w:line="288"/>
      </w:pPr>
      <w:r>
        <w:rPr>
          <w:rFonts w:ascii="Georgia" w:cs="Georgia" w:eastAsia="Georgia" w:hAnsi="Georgia"/>
          <w:b/>
          <w:bCs/>
          <w:color w:val="2A1410"/>
          <w:sz w:val="24"/>
          <w:szCs w:val="24"/>
        </w:rPr>
        <w:t xml:space="preserve">Reaches back to — </w:t>
      </w:r>
      <w:r>
        <w:rPr>
          <w:rFonts w:ascii="Georgia" w:cs="Georgia" w:eastAsia="Georgia" w:hAnsi="Georgia"/>
          <w:color w:val="2A1410"/>
          <w:sz w:val="24"/>
          <w:szCs w:val="24"/>
        </w:rPr>
        <w:t xml:space="preserve">Movement Five (the Fourteenth Amendment), and Period 8’s Watergate reforms.</w:t>
      </w:r>
    </w:p>
    <w:p>
      <w:pPr>
        <w:pStyle w:val="ListParagraph"/>
        <w:numPr>
          <w:ilvl w:val="0"/>
          <w:numId w:val="2"/>
        </w:numPr>
        <w:spacing w:after="130" w:line="288"/>
      </w:pPr>
      <w:r>
        <w:rPr>
          <w:rFonts w:ascii="Georgia" w:cs="Georgia" w:eastAsia="Georgia" w:hAnsi="Georgia"/>
          <w:b/>
          <w:bCs/>
          <w:color w:val="2A1410"/>
          <w:sz w:val="24"/>
          <w:szCs w:val="24"/>
        </w:rPr>
        <w:t xml:space="preserve">Prev → </w:t>
      </w:r>
      <w:r>
        <w:rPr>
          <w:rFonts w:ascii="Georgia" w:cs="Georgia" w:eastAsia="Georgia" w:hAnsi="Georgia"/>
          <w:color w:val="2A1410"/>
          <w:sz w:val="24"/>
          <w:szCs w:val="24"/>
        </w:rPr>
        <w:t xml:space="preserve">Step 8, </w:t>
      </w:r>
      <w:r>
        <w:rPr>
          <w:rFonts w:ascii="Georgia" w:cs="Georgia" w:eastAsia="Georgia" w:hAnsi="Georgia"/>
          <w:i/>
          <w:iCs/>
          <w:color w:val="2A1410"/>
          <w:sz w:val="24"/>
          <w:szCs w:val="24"/>
        </w:rPr>
        <w:t xml:space="preserve">America’s Global Legacy at 250</w:t>
      </w:r>
      <w:r>
        <w:rPr>
          <w:rFonts w:ascii="Georgia" w:cs="Georgia" w:eastAsia="Georgia" w:hAnsi="Georgia"/>
          <w:color w:val="2A1410"/>
          <w:sz w:val="24"/>
          <w:szCs w:val="24"/>
        </w:rPr>
        <w:t xml:space="preserve">.</w:t>
      </w:r>
    </w:p>
    <w:p>
      <w:pPr>
        <w:pStyle w:val="ListParagraph"/>
        <w:numPr>
          <w:ilvl w:val="0"/>
          <w:numId w:val="2"/>
        </w:numPr>
        <w:spacing w:after="130" w:line="288"/>
      </w:pPr>
      <w:r>
        <w:rPr>
          <w:rFonts w:ascii="Georgia" w:cs="Georgia" w:eastAsia="Georgia" w:hAnsi="Georgia"/>
          <w:b/>
          <w:bCs/>
          <w:color w:val="2A1410"/>
          <w:sz w:val="24"/>
          <w:szCs w:val="24"/>
        </w:rPr>
        <w:t xml:space="preserve">Next → </w:t>
      </w:r>
      <w:r>
        <w:rPr>
          <w:rFonts w:ascii="Georgia" w:cs="Georgia" w:eastAsia="Georgia" w:hAnsi="Georgia"/>
          <w:color w:val="2A1410"/>
          <w:sz w:val="24"/>
          <w:szCs w:val="24"/>
        </w:rPr>
        <w:t xml:space="preserve">Step 10, </w:t>
      </w:r>
      <w:r>
        <w:rPr>
          <w:rFonts w:ascii="Georgia" w:cs="Georgia" w:eastAsia="Georgia" w:hAnsi="Georgia"/>
          <w:i/>
          <w:iCs/>
          <w:color w:val="2A1410"/>
          <w:sz w:val="24"/>
          <w:szCs w:val="24"/>
        </w:rPr>
        <w:t xml:space="preserve">The Unfinished Argument</w:t>
      </w:r>
      <w:r>
        <w:rPr>
          <w:rFonts w:ascii="Georgia" w:cs="Georgia" w:eastAsia="Georgia" w:hAnsi="Georgia"/>
          <w:color w:val="2A1410"/>
          <w:sz w:val="24"/>
          <w:szCs w:val="24"/>
        </w:rPr>
        <w:t xml:space="preserve"> — the course’s final step, and your turn.</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2026-07-06T13:19:43.400Z</dcterms:created>
  <dcterms:modified xsi:type="dcterms:W3CDTF">2026-07-06T13:19:43.401Z</dcterms:modified>
</cp:coreProperties>
</file>

<file path=docProps/custom.xml><?xml version="1.0" encoding="utf-8"?>
<Properties xmlns="http://schemas.openxmlformats.org/officeDocument/2006/custom-properties" xmlns:vt="http://schemas.openxmlformats.org/officeDocument/2006/docPropsVTypes"/>
</file>